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RNA</w:t>
      </w:r>
      <w:r>
        <w:rPr>
          <w:rFonts w:ascii="Calibri" w:hAnsi="Calibri"/>
          <w:b/>
          <w:color w:val="1A2010"/>
          <w:sz w:val="40"/>
        </w:rPr>
        <w:t xml:space="preserve">  Atrium Therapeutics, Inc.</w:t>
      </w:r>
    </w:p>
    <w:p>
      <w:pPr>
        <w:spacing w:after="120"/>
      </w:pPr>
      <w:r>
        <w:rPr>
          <w:rFonts w:ascii="Calibri" w:hAnsi="Calibri"/>
          <w:b/>
          <w:color w:val="6E8450"/>
          <w:sz w:val="18"/>
        </w:rPr>
        <w:t>GROWTH SLEEVE · 2026-04-24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Atrium Therapeutics is a preclinical-stage biopharmaceutical company focused on delivering RNA therapeutics to the heart to treat rare genetic cardiomyopathies. Spun out of Avidity Biosciences following Novartis's $12B acquisition in February 2026, Atrium launched with approximately $270M in cash and two lead candidates: ATR 1072 (PRKAG2 syndrome) and ATR 1086 (PLN cardiomyopathy).</w:t>
      </w:r>
    </w:p>
    <w:p>
      <w:r>
        <w:rPr>
          <w:rFonts w:ascii="Calibri" w:hAnsi="Calibri"/>
          <w:b/>
          <w:color w:val="6E8450"/>
          <w:sz w:val="18"/>
        </w:rPr>
        <w:t>https://atriumtherapeutics.com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Atrium Therapeutics was incorporated in 2025 and launched publicly in February 2026 — there is no independent product launch or pivot history to evaluate [1]. The company inherited RNA delivery technology from Avidity Biosciences but has not yet demonstrated independent execution. AI Deployment (0/2): No evidence of AI-powered products or AI-driven operational efficiencies; the company is focused on preclinical RNA therapeutics development [2]. Market Share (1/2): Atrium occupies a differentiated niche in cardiac-targeted RNA delivery, a space with limited direct competition; the antibody-oligonucleotide conjugate (AOC) platform for heart tissue is novel and could define a new therapeutic category [1][2]. Pipeline (2/2): Two named candidates — ATR 1072 targeting PRKAG2 syndrome with IND filing planned H2 2026, and ATR 1086 targeting PLN cardiomyopathy with IND planned 2027 — plus two additional undisclosed research-stage programs and a productive Bristol Myers Squibb collaboration that generated a $15M milestone payment [1][3]. R&amp;D Intensity (0/1): As a preclinical-stage company spending essentially all capital on R&amp;D with minimal revenue, R&amp;D intensity is structurally high but not meaningful to benchmark against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Atrium's mission to 'pave a new path for precision cardiology' by delivering RNA medicines directly to the heart is specific, patient-focused, and connected to transforming outcomes for people with rare genetic cardiomyopathies — a thoughtful purpose that clearly guides strategic decisions [2]. Community Impact (0/2): No evidence of charitable programs or community investment; the company is less than a year old with no established CSR track record. Employee Retention (0/2): No data available on employee retention or tenure for a company that launched in February 2026. Insider Buying (1/2): CEO Kathleen Gallagher received RSU grants and a 205,000-share option grant, demonstrating alignment through equity compensation, though no open-market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Atrium Therapeutics is a preclinical-stage biotech with no meaningful revenue ($18.6M TTM, primarily legacy collaboration revenue declining 71% YoY), deeply negative profit margins (-266%), and negative earnings (EPS -$4.48 TTM) [5]. The company's $270M cash position from the Novartis/Avidity spinoff provides approximately 4-5 years of runway at current burn rates (~$41M annual operating cash outflow), but generates no returns on equity or capital [1][5]. Forward P/E is negative (-3.4x) reflecting expected continued losses. The company has minimal debt ($3.7M). All calculable infrastructure metrics score at or below floor levels. Liquidity floor cleared: $13.7M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Atrium Therapeutics is too new (launched February 2026) to have demonstrated infinite game characteristics through crises, leadership transitions, or multi-year strategic consistency. The company has a clear and specific purpose in rare cardiology, but has not yet been tested. CEO Gallagher brings Avidity experience but the organization's culture and strategic resilience are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Atrium's cause — transforming care for people living with rare genetic cardiomyopathies through precision RNA delivery to the heart — is genuine, specific, and service-oriented [2]. It describes a future state where patients with PRKAG2 syndrome and PLN cardiomyopathy have treatment options that do not currently exist. However, the cause has not been tested through crisis, leadership transition, or multi-decade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Atrium launched in February 2026 with a newly assembled team. No data exists on employee tenure, voluntary turnover, or organizational culture. The company is too young to evaluate trust dynamics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 the company operates in a niche with limited direct competition in cardiac-targeted RNA delivery. No management commentary referencing competitors or acknowledging rival strengths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Atrium is a brand-new company that has not yet faced the test of existential flexibility. The company has a focused pipeline (cardiac RNA therapeutics) but has not demonstrated willingness or ability to pivot if the core approach fails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 the company is less than a year old and has not yet faced the trade-offs between short-term and long-term that test leadership courage. CEO Gallagher accepted the challenge of leading a spinoff biotech, but this does not yet constitute a pattern of courageous decision-making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Atrium Therapeutics occupies a differentiated position in cardiac-targeted RNA delivery, a nascent therapeutic category with significant unmet need in rare genetic cardiomyopathies [1][2]. The company launched with $270M cash providing 4-5 years of runway, a productive Bristol Myers Squibb collaboration that generated a $15M milestone payment, and two lead candidates (ATR 1072 IND filing planned H2 2026, ATR 1086 IND planned 2027) [1][3]. The $215M market cap represents a modest valuation relative to the cash position and platform potential in a field where successful rare disease therapies command premium pricing. The AOC platform inherited from Avidity has been validated by Novartis's $12B acquisition, suggesting the underlying technology has significant value.</w:t>
      </w:r>
    </w:p>
    <w:p>
      <w:pPr>
        <w:spacing w:after="120"/>
      </w:pPr>
      <w:r>
        <w:rPr>
          <w:rFonts w:ascii="Calibri" w:hAnsi="Calibri"/>
          <w:b w:val="0"/>
          <w:color w:val="3A4A28"/>
          <w:sz w:val="20"/>
        </w:rPr>
        <w:t>The bear case is substantial for a preclinical-stage biotech with no approved products and no meaningful revenue. GAAP EPS of -$4.48 with profit margins of -266% reflects a company entirely dependent on its cash runway [5]. Both lead candidates are preclinical, meaning at least 5-7 years of development risk before potential commercialization. The 71% YoY revenue decline reflects the loss of Avidity's legacy programs to Novartis. Clinical failure in either PRKAG2 or PLN programs would severely impair the thesis given the narrow pipeline focus on cardiac indications. As a newly public spinoff, the company has no independent operating history, unproven management at the CEO level, and limited institutional following. Dilutive capital raises are likely as the $270M cash depletes over the next 3-4 years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ATR 1072 IND filing for PRKAG2 syndrome expected H2 2026, the first major clinical milestone for the independent company [1]</w:t>
      </w:r>
    </w:p>
    <w:p>
      <w:pPr>
        <w:spacing w:before="40" w:after="40"/>
        <w:ind w:left="283"/>
      </w:pPr>
      <w:r>
        <w:rPr>
          <w:rFonts w:ascii="Calibri" w:hAnsi="Calibri"/>
          <w:b/>
          <w:color w:val="4A6B25"/>
          <w:sz w:val="20"/>
        </w:rPr>
        <w:t xml:space="preserve">2. </w:t>
      </w:r>
      <w:r>
        <w:rPr>
          <w:rFonts w:ascii="Calibri" w:hAnsi="Calibri"/>
          <w:b w:val="0"/>
          <w:color w:val="3A4A28"/>
          <w:sz w:val="20"/>
        </w:rPr>
        <w:t>Bristol Myers Squibb collaboration milestone payments providing non-dilutive funding and validation of the AOC platform technology [3]</w:t>
      </w:r>
    </w:p>
    <w:p>
      <w:pPr>
        <w:spacing w:before="40" w:after="40"/>
        <w:ind w:left="283"/>
      </w:pPr>
      <w:r>
        <w:rPr>
          <w:rFonts w:ascii="Calibri" w:hAnsi="Calibri"/>
          <w:b/>
          <w:color w:val="4A6B25"/>
          <w:sz w:val="20"/>
        </w:rPr>
        <w:t xml:space="preserve">3. </w:t>
      </w:r>
      <w:r>
        <w:rPr>
          <w:rFonts w:ascii="Calibri" w:hAnsi="Calibri"/>
          <w:b w:val="0"/>
          <w:color w:val="3A4A28"/>
          <w:sz w:val="20"/>
        </w:rPr>
        <w:t>ATR 1086 IND submission planned 2027 for PLN cardiomyopathy, expanding the clinical-stage pipeline and de-risking the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Preclinical-stage binary risk — both lead candidates have not yet entered human clinical trials, with high probability of clinical failure in the 5-7 year development timeline [1]</w:t>
      </w:r>
    </w:p>
    <w:p>
      <w:pPr>
        <w:spacing w:before="40" w:after="40"/>
        <w:ind w:left="283"/>
      </w:pPr>
      <w:r>
        <w:rPr>
          <w:rFonts w:ascii="Calibri" w:hAnsi="Calibri"/>
          <w:b/>
          <w:color w:val="4A6B25"/>
          <w:sz w:val="20"/>
        </w:rPr>
        <w:t xml:space="preserve">2. </w:t>
      </w:r>
      <w:r>
        <w:rPr>
          <w:rFonts w:ascii="Calibri" w:hAnsi="Calibri"/>
          <w:b w:val="0"/>
          <w:color w:val="3A4A28"/>
          <w:sz w:val="20"/>
        </w:rPr>
        <w:t>Cash runway dependency — $270M cash supports approximately 4-5 years of operations at current burn, with dilutive raises likely needed before any product revenue [5]</w:t>
      </w:r>
    </w:p>
    <w:p>
      <w:pPr>
        <w:spacing w:before="40" w:after="40"/>
        <w:ind w:left="283"/>
      </w:pPr>
      <w:r>
        <w:rPr>
          <w:rFonts w:ascii="Calibri" w:hAnsi="Calibri"/>
          <w:b/>
          <w:color w:val="4A6B25"/>
          <w:sz w:val="20"/>
        </w:rPr>
        <w:t xml:space="preserve">3. </w:t>
      </w:r>
      <w:r>
        <w:rPr>
          <w:rFonts w:ascii="Calibri" w:hAnsi="Calibri"/>
          <w:b w:val="0"/>
          <w:color w:val="3A4A28"/>
          <w:sz w:val="20"/>
        </w:rPr>
        <w:t>Narrow pipeline concentration in cardiac RNA delivery means a single safety signal or efficacy failure could undermine the entire investment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RNA-based drug development targeting rare genetic cardiomyopathies is structurally immune to AI disruption. The core value proposition — delivering therapeutic RNA molecules directly to heart tissue via antibody-oligonucleotide conjugates — requires physical molecular engineering, wet-lab biology, animal models, and clinical trials that AI cannot substitute [2]. Drug development in rare diseases involves regulatory complexity (orphan drug pathways), small patient populations, and specialized manufacturing that create natural moats against AI displacement. AI may accelerate drug discovery timelines (target identification, molecular optimization) but this benefits rather than threatens companies like Atrium. AI Opportunity (0/1): No evidence of AI-generated revenue or AI-powered products shipping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MedCity News — Atrium Therapeutics launches with $270M for RNA therapies addressing rare cardio conditions, March 2026</w:t>
      </w:r>
    </w:p>
    <w:p>
      <w:pPr>
        <w:spacing w:before="20" w:after="20"/>
        <w:ind w:left="170"/>
      </w:pPr>
      <w:r>
        <w:rPr>
          <w:rFonts w:ascii="Calibri" w:hAnsi="Calibri"/>
          <w:b/>
          <w:color w:val="4A6B25"/>
          <w:sz w:val="15"/>
        </w:rPr>
        <w:t xml:space="preserve">2. </w:t>
      </w:r>
      <w:r>
        <w:rPr>
          <w:rFonts w:ascii="Calibri" w:hAnsi="Calibri"/>
          <w:b w:val="0"/>
          <w:color w:val="3A4A28"/>
          <w:sz w:val="17"/>
        </w:rPr>
        <w:t>Atrium Therapeutics Corporate Website — Mission, pipeline, about page,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PR Newswire — Atrium Therapeutics earns $15M milestone payment from Bristol Myers Squibb, April 2026</w:t>
      </w:r>
    </w:p>
    <w:p>
      <w:pPr>
        <w:spacing w:before="20" w:after="20"/>
        <w:ind w:left="170"/>
      </w:pPr>
      <w:r>
        <w:rPr>
          <w:rFonts w:ascii="Calibri" w:hAnsi="Calibri"/>
          <w:b/>
          <w:color w:val="4A6B25"/>
          <w:sz w:val="15"/>
        </w:rPr>
        <w:t xml:space="preserve">4. </w:t>
      </w:r>
      <w:r>
        <w:rPr>
          <w:rFonts w:ascii="Calibri" w:hAnsi="Calibri"/>
          <w:b w:val="0"/>
          <w:color w:val="3A4A28"/>
          <w:sz w:val="17"/>
        </w:rPr>
        <w:t>SEC Form 4 — CEO Kathleen Gallagher RSU and option grants, Atrium Therapeutics,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RNA (Atrium Therapeutics),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