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RNG</w:t>
      </w:r>
      <w:r>
        <w:rPr>
          <w:rFonts w:ascii="Calibri" w:hAnsi="Calibri"/>
          <w:b/>
          <w:color w:val="1A2010"/>
          <w:sz w:val="40"/>
        </w:rPr>
        <w:t xml:space="preserve">  RingCentral, Inc.</w:t>
      </w:r>
    </w:p>
    <w:p>
      <w:pPr>
        <w:spacing w:after="120"/>
      </w:pPr>
      <w:r>
        <w:rPr>
          <w:rFonts w:ascii="Calibri" w:hAnsi="Calibri"/>
          <w:b/>
          <w:color w:val="6E8450"/>
          <w:sz w:val="18"/>
        </w:rPr>
        <w:t>GROWTH SLEEVE · 2026-04-14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RingCentral provides cloud-based unified communications, contact center, and conversation intelligence software under a subscription model. Founder-CEO Vlad Shmunis returned to the helm in 2024 to refocus the company on AI-first product innovation across messaging, video, and AI-powered customer experience.</w:t>
      </w:r>
    </w:p>
    <w:p>
      <w:r>
        <w:rPr>
          <w:rFonts w:ascii="Calibri" w:hAnsi="Calibri"/>
          <w:b/>
          <w:color w:val="6E8450"/>
          <w:sz w:val="18"/>
        </w:rPr>
        <w:t>3,800 Employees · https://www.ringcentral.com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RingCentral has refreshed its portfolio with RingCX, RingSense, and RingEX AI assistants, but the broader UCaaS business model has not meaningfully pivoted in five years and overall revenue growth has slowed to 5% in 2025 [1]. AI Deployment (2/2): Monetized AI ARR more than doubled YoY and now approaches 10% of overall ARR, representing genuine product shipping with quantifiable customer adoption [1]. Market Share (1/2): RingCentral is a meaningful player in UCaaS but has lost share to Microsoft Teams and Zoom Phone; stable but not gaining. Pipeline (1/2): Management outlined continued AI-first roadmap investments for 2026 but without specific dollar pipeline visibility comparable to pure-play AI infrastructure leaders [2]. R&amp;D Intensity (0/1): Operating expense discipline is the bigger story than R&amp;D intensity leadership; R&amp;D spend is roughly in line with peers as the company prioritizes 22.5% non-GAAP operating margin expansion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RingCentral's mission to deliver AI-first cloud communications is clear but not distinctive among UCaaS peers; it hasn't been validated through multi-cycle consistency [2]. Community Impact (1/2): The company publishes impact reports and supports nonprofit programs but the scale of giving is modest relative to peers. Employee Retention (0/2): Glassdoor reviews describe mixed culture with 56% recommend rate, 3.3 culture rating, and employee complaints about leadership turnover above director level [2]. Insider Buying (1/2): Shmunis's return as founder-CEO and the new dividend plus expanded $500M buyback signal management conviction but specific net insider-buying data wasn't confirmed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RingCentral's financial profile is mixed. 2025 revenue of $2.5B grew only 5% with 2026 guidance of 4-5% growth indicating slowing maturity [1]. Forward P/E of 7.5x is attractive given $530M FCF and the initiation of a quarterly dividend of $0.075 [1]. ROE is mathematically negative (-2,108%) and D/E is -322% due to accumulated deficit from years of losses and buybacks creating negative book equity [3]. Profit margin on non-GAAP basis is ~22.5% but GAAP operating margin is only 4.8%. Liquidity floor easily cleared at $33.53 price and healthy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RingCentral has a founder-CEO who has led for 25 years and just returned for a second act, which speaks to long-term conviction. However, it competes in a category that is being absorbed into larger platforms (Microsoft, Zoom), and its strategic options are more about defense than reinvention.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RingCentral articulates a cloud-communications-for-all mission but it functions more like a product positioning than a Just Cause that has been tested through decades of crisis. Shmunis's founder tenure is a positive signal but the purpose is not distinctive from Zoom or 8x8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are middle-of-the-road (3.6 work-life, 3.3 culture, 56% recommend), with employee commentary citing concerns about leadership quality above director level and difficulty innovating [2]. Not a high-trust organization but not toxic either.</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acknowledges Microsoft Teams and Zoom as competitive pressures and has responded by launching RingCX and RingSense AI products rather than retreating [1]. The competitive language is about differentiation and innovation rather than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2024 leadership change (Shmunis returning) and pivot toward AI-first product positioning represents a meaningful strategic reset, though the underlying UCaaS business model is unchanged [2]. Dividend initiation and buyback expansion signal a maturing rather than transformative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Initiating a dividend and expanding the buyback while reinvesting in AI products shows capital allocation discipline [1]. However, there are no clear examples of leadership sacrificing major revenue streams or taking costly long-term bets during the slowdown.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RingCentral is a value-priced UCaaS incumbent showing late-cycle discipline. FY25 revenue of $2.5B grew 5% with non-GAAP operating margin expanding to 22.5%, GAAP operating profitability achieved, $530M in free cash flow generated, and management initiated a quarterly dividend while expanding the buyback to $500M [1]. AI ARR more than doubled YoY to approach 10% of total, and founder-CEO Vlad Shmunis returned in 2024 to reaccelerate AI-led product innovation [1]. At a 7.5x forward P/E, the stock prices in significant pessimism, and if AI ARR compounds toward 20%+ of the base, the multiple could rerate materially [3].</w:t>
      </w:r>
    </w:p>
    <w:p>
      <w:pPr>
        <w:spacing w:after="120"/>
      </w:pPr>
      <w:r>
        <w:rPr>
          <w:rFonts w:ascii="Calibri" w:hAnsi="Calibri"/>
          <w:b w:val="0"/>
          <w:color w:val="3A4A28"/>
          <w:sz w:val="20"/>
        </w:rPr>
        <w:t>The bear case is structural category decay. UCaaS is being absorbed into Microsoft Teams (bundled in M365) and Zoom Phone, and RingCentral's 5% growth with 4-5% 2026 guidance is below software-industry average despite heavy AI investment [1][2]. GAAP operating margin of just 4.8% and negative book equity reflect years of losses, and the non-GAAP metrics that management emphasizes mask the reality that profitability under GAAP is still nascent [3]. The Inspire Insight score of -49 flags LGBT Activism as a negative attribution that may conflict with mission-aligned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ARR continuing to double (currently approaching 10% of overall ARR), which if sustained into 20%+ would drive meaningful mix shift and multiple rerating [1]</w:t>
      </w:r>
    </w:p>
    <w:p>
      <w:pPr>
        <w:spacing w:before="40" w:after="40"/>
        <w:ind w:left="283"/>
      </w:pPr>
      <w:r>
        <w:rPr>
          <w:rFonts w:ascii="Calibri" w:hAnsi="Calibri"/>
          <w:b/>
          <w:color w:val="4A6B25"/>
          <w:sz w:val="20"/>
        </w:rPr>
        <w:t xml:space="preserve">2. </w:t>
      </w:r>
      <w:r>
        <w:rPr>
          <w:rFonts w:ascii="Calibri" w:hAnsi="Calibri"/>
          <w:b w:val="0"/>
          <w:color w:val="3A4A28"/>
          <w:sz w:val="20"/>
        </w:rPr>
        <w:t>2026 free cash flow target of $590M funding the $500M buyback and new dividend, compounding per-share value even if revenue growth stays flat [1]</w:t>
      </w:r>
    </w:p>
    <w:p>
      <w:pPr>
        <w:spacing w:before="40" w:after="40"/>
        <w:ind w:left="283"/>
      </w:pPr>
      <w:r>
        <w:rPr>
          <w:rFonts w:ascii="Calibri" w:hAnsi="Calibri"/>
          <w:b/>
          <w:color w:val="4A6B25"/>
          <w:sz w:val="20"/>
        </w:rPr>
        <w:t xml:space="preserve">3. </w:t>
      </w:r>
      <w:r>
        <w:rPr>
          <w:rFonts w:ascii="Calibri" w:hAnsi="Calibri"/>
          <w:b w:val="0"/>
          <w:color w:val="3A4A28"/>
          <w:sz w:val="20"/>
        </w:rPr>
        <w:t>Founder-CEO Shmunis's continued AI-first product roadmap execution potentially reaccelerating growth above the 4-5% 2026 guide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Teams and Zoom Phone continuing to take UCaaS share as AI copilots commoditize telephony, making RingCentral's 5% growth unsustainable [2]</w:t>
      </w:r>
    </w:p>
    <w:p>
      <w:pPr>
        <w:spacing w:before="40" w:after="40"/>
        <w:ind w:left="283"/>
      </w:pPr>
      <w:r>
        <w:rPr>
          <w:rFonts w:ascii="Calibri" w:hAnsi="Calibri"/>
          <w:b/>
          <w:color w:val="4A6B25"/>
          <w:sz w:val="20"/>
        </w:rPr>
        <w:t xml:space="preserve">2. </w:t>
      </w:r>
      <w:r>
        <w:rPr>
          <w:rFonts w:ascii="Calibri" w:hAnsi="Calibri"/>
          <w:b w:val="0"/>
          <w:color w:val="3A4A28"/>
          <w:sz w:val="20"/>
        </w:rPr>
        <w:t>GAAP operating margin of 4.8% and negative book equity reflecting years of stock-based compensation dilution that has not yet translated to durable profitability [3]</w:t>
      </w:r>
    </w:p>
    <w:p>
      <w:pPr>
        <w:spacing w:before="40" w:after="40"/>
        <w:ind w:left="283"/>
      </w:pPr>
      <w:r>
        <w:rPr>
          <w:rFonts w:ascii="Calibri" w:hAnsi="Calibri"/>
          <w:b/>
          <w:color w:val="4A6B25"/>
          <w:sz w:val="20"/>
        </w:rPr>
        <w:t xml:space="preserve">3. </w:t>
      </w:r>
      <w:r>
        <w:rPr>
          <w:rFonts w:ascii="Calibri" w:hAnsi="Calibri"/>
          <w:b w:val="0"/>
          <w:color w:val="3A4A28"/>
          <w:sz w:val="20"/>
        </w:rPr>
        <w:t>Inspire -49 score and LGBT Activism flag creating potential misalignment with faith-aligned IOWN screen mandate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UCaaS is a structurally AI-exposed category. Microsoft Copilot embedded in Teams and Zoom's AI Companion compete directly with RingCentral's monetized AI products, and the core voice/video/messaging business faces commoditization pressure as LLMs become embedded in productivity platforms [2]. Analysts flag Microsoft Teams as a persistent share-taking threat regardless of AI investment. AI Opportunity (1/1): Monetized AI ARR more than doubled YoY to approach 10% of total ARR, a meaningful but not dominant contribution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RingCentral Q4 and FY2025 Earnings Release, February 2026 — $2.5B revenue, 5% growth, $530M FCF, dividend initiation, $500M buyback, 2026 guidance 4-5%</w:t>
      </w:r>
    </w:p>
    <w:p>
      <w:pPr>
        <w:spacing w:before="20" w:after="20"/>
        <w:ind w:left="170"/>
      </w:pPr>
      <w:r>
        <w:rPr>
          <w:rFonts w:ascii="Calibri" w:hAnsi="Calibri"/>
          <w:b/>
          <w:color w:val="4A6B25"/>
          <w:sz w:val="15"/>
        </w:rPr>
        <w:t xml:space="preserve">2. </w:t>
      </w:r>
      <w:r>
        <w:rPr>
          <w:rFonts w:ascii="Calibri" w:hAnsi="Calibri"/>
          <w:b w:val="0"/>
          <w:color w:val="3A4A28"/>
          <w:sz w:val="17"/>
        </w:rPr>
        <w:t>RingCentral leadership page and Glassdoor reviews — Vlad Shmunis founder-CEO returned 2024; 56% recommend, 3.3 culture; AI-first strategy</w:t>
      </w:r>
    </w:p>
    <w:p>
      <w:pPr>
        <w:spacing w:before="20" w:after="20"/>
        <w:ind w:left="170"/>
      </w:pPr>
      <w:r>
        <w:rPr>
          <w:rFonts w:ascii="Calibri" w:hAnsi="Calibri"/>
          <w:b/>
          <w:color w:val="4A6B25"/>
          <w:sz w:val="15"/>
        </w:rPr>
        <w:t xml:space="preserve">3. </w:t>
      </w:r>
      <w:r>
        <w:rPr>
          <w:rFonts w:ascii="Calibri" w:hAnsi="Calibri"/>
          <w:b w:val="0"/>
          <w:color w:val="3A4A28"/>
          <w:sz w:val="17"/>
        </w:rPr>
        <w:t>Yahoo Finance / CNBC key statistics for RNG, April 2026 — $33.53 price, forward P/E 7.5x, TTM revenue $2.515B, negative book equity</w:t>
      </w:r>
    </w:p>
    <w:p>
      <w:pPr>
        <w:spacing w:before="20" w:after="20"/>
        <w:ind w:left="170"/>
      </w:pPr>
      <w:r>
        <w:rPr>
          <w:rFonts w:ascii="Calibri" w:hAnsi="Calibri"/>
          <w:b/>
          <w:color w:val="4A6B25"/>
          <w:sz w:val="15"/>
        </w:rPr>
        <w:t xml:space="preserve">4. </w:t>
      </w:r>
      <w:r>
        <w:rPr>
          <w:rFonts w:ascii="Calibri" w:hAnsi="Calibri"/>
          <w:b w:val="0"/>
          <w:color w:val="3A4A28"/>
          <w:sz w:val="17"/>
        </w:rPr>
        <w:t>Inspire Insight scoring (data/inspire_insight_scores.csv)</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