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ROIV</w:t>
      </w:r>
      <w:r>
        <w:rPr>
          <w:rFonts w:ascii="Calibri" w:hAnsi="Calibri"/>
          <w:b/>
          <w:color w:val="1A2010"/>
          <w:sz w:val="40"/>
        </w:rPr>
        <w:t xml:space="preserve">  Roivant Sciences Ltd.</w:t>
      </w:r>
    </w:p>
    <w:p>
      <w:pPr>
        <w:spacing w:after="120"/>
      </w:pPr>
      <w:r>
        <w:rPr>
          <w:rFonts w:ascii="Calibri" w:hAnsi="Calibri"/>
          <w:b/>
          <w:color w:val="6E8450"/>
          <w:sz w:val="18"/>
        </w:rPr>
        <w:t>GROWTH SLEEVE · 2026-03-28 · Inspire: 41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Kingdom</w:t>
      </w:r>
    </w:p>
    <w:p>
      <w:pPr>
        <w:spacing w:after="80"/>
      </w:pPr>
      <w:r>
        <w:rPr>
          <w:rFonts w:ascii="Calibri" w:hAnsi="Calibri"/>
          <w:b w:val="0"/>
          <w:color w:val="3A4A28"/>
          <w:sz w:val="20"/>
        </w:rPr>
        <w:t>Roivant Sciences is a clinical-stage biopharmaceutical company that discovers, develops, and commercializes medicines through a decentralized hub-and-spoke model of subsidiary 'Vant' companies. Key programs include IMVT-1402 (anti-FcRn antibody), brepocitinib (TYK2/JAK1 inhibitor), and mosliciguat (inhaled sGC activator). The company leverages computational drug discovery through its Silicon Therapeutics platform.</w:t>
      </w:r>
    </w:p>
    <w:p>
      <w:r>
        <w:rPr>
          <w:rFonts w:ascii="Calibri" w:hAnsi="Calibri"/>
          <w:b/>
          <w:color w:val="6E8450"/>
          <w:sz w:val="18"/>
        </w:rPr>
        <w:t>750 Employees · https://roivant.com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Roivant's Vant model has produced transformative value creation — the sale of Telavant to Roche for $7.1B upfront plus $150M milestone in December 2023 validated the model [1][2]. The Pfizer partnership (25% equity in Priovant for brepocitinib global rights) demonstrates Big Pharma confidence in Roivant's pipeline. AI Deployment (2/2): The $450M acquisition of Silicon Therapeutics brought a proprietary computational physics platform for in silico drug design, led by CTO Huafeng Xu (12 years at D.E. Shaw Research designing the Anton chip for molecular dynamics) [2]. This is genuine AI-powered drug discovery, not marketing. Market Share (1/2): Roivant has 8 products in Phase II and 3 in Phase III, making it one of the most productive clinical-stage biotechs. The pipeline spans autoimmune, pulmonary, and dermatology with first-in-class mechanisms [1]. Pipeline (2/2): Multiple near-term catalysts with specific timelines — brepocitinib NDA filing early CY2026, IMVT-1402 registrational data in CY2026 (accelerated), mosliciguat Phase 2 data H2 CY2026, and LNP litigation trials against Moderna in CY2026 [1]. R&amp;D Intensity (1/1): R&amp;D is the entire business — Roivant exists to develop drugs, and it has $4.9B in cash/securities to fund the pipeline through multiple product launches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Roivant's stated purpose is to 'improve the delivery of healthcare to patients' through technology-enabled drug development — clear, specific to biotech, and differentiated by the Vant model. CEO Matt Gline articulates that 'the way value is created in our business is by generating important scientific data' [2]. This is thoughtful but not transformative. Community Impact (1/2): Roivant Social Ventures, established in 2018/2020, promotes health equity and diversity in biopharma, representing genuine community investment aligned with healthcare mission [3]. Employee Retention (1/2): The decentralized Vant model is explicitly designed to retain entrepreneurial talent by putting 'strong talent in capital constrained, back-to-the-wall entrepreneurial setups' with direct incentive alignment [2]. This is a distinctive retention approach, though no specific tenure or turnover data is available. Insider Buying (0/2): No evidence of meaningful insider buying by CEO Matt Gline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Roivant's financial profile reflects a pre-revenue clinical-stage biotech. Total revenue was just $13.3M trailing twelve months with a net loss of $809.2M, resulting in negative ROE of -19.1% and 0% profit margin [4]. Revenue declined 77.8% YoY as the company exhausted Telavant milestone payments. The one bright spot is an exceptionally clean balance sheet — D/E of just 2.2% with $4.9B in cash and marketable securities at March 2025, providing multi-year runway to fund the pipeline [1]. Forward P/E is meaningless at -25.7x (unprofitable). The $19B market cap is entirely predicated on pipeline value, not current financials. Liquidity floor cleared easily: 6.5M avg volume x $26.52 = $171M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Roivant Sciences plays an infinite game by design — the decentralized Vant model, the patient buildout of a computational drug discovery platform, and the willingness to sell Telavant for $7.1B rather than build a traditional pharma empire all reflect a company focused on long-term value creation through science rather than quarterly revenue optimization. CEO Gline's focus on 'generating important scientific data' over revenue is quintessential infinite game thinking for a clinical-stage biotech.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Roivant's cause — transforming drug development through technology and a decentralized entrepreneurial model — is genuine and partially validated by the $7.1B Telavant sale and Pfizer partnership [1][2]. The Just Cause goes beyond making drugs to fundamentally rethinking how biopharma operates. However, the cause has not yet been tested through decades of consistency — the company was founded in 2014 and its current CEO took over in 2021. The cause is real and distinctive, but still young.</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Vant model is specifically designed to create high-trust, high-autonomy teams — each subsidiary Vant operates with entrepreneurial independence, its own incentive structure, and dedicated leadership [2]. CEO Gline describes putting 'strong talent in capital constrained, back-to-the-wall entrepreneurial setups, which is how people operate at their best.' This is textbook Circle of Safety — small teams empowered to take risks with direct accountability. The 750-employee headcount across multiple Vants allows for intimate team cultures.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Roivant explicitly acknowledges competitive landscape dynamics — partnering with Pfizer (brepocitinib), selling to Roche (Telavant), and building on D.E. Shaw Research's computational foundations [1][2]. The company competes to advance science rather than to beat specific rivals, and its willingness to sell a $7.1B asset rather than build a competitive pharma company demonstrates an infinite mindset toward competition as collaboration.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Roivant has shown meaningful flexibility — transitioning from founder Vivek Ramaswamy's vision to Matt Gline's technology-first leadership, selling Telavant when the price was right rather than clinging to it, and acquiring Silicon Therapeutics to pivot toward computational discovery [1][2]. The Vant model itself is flexible by design — each subsidiary can be spun off, sold, or expanded independently. However, the company has not yet faced a true existential test requiring abandonment of its core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Roivant's leadership consistently makes courageous long-term bets — spending $450M to acquire Silicon Therapeutics for computational drug discovery when the technology was unproven at scale, suing Moderna over LNP patents, and maintaining $4.9B in cash reserves to fund a multi-year pipeline despite reporting $809M in annual losses [1][2]. CEO Gline prioritizes 'generating important scientific data' over near-term revenue, a principled stance that costs hundreds of millions annually. The willingness to operate at massive losses while building transformative capabilities is textbook Courage to Lead.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Roivant Sciences has $4.9B in cash and a deep pipeline of 11 clinical-stage programs with three potential first-in-class commercial launches over the next three years [1]. The brepocitinib NDA filing (early CY2026) for dermatomyositis could yield the company's first proprietary commercial product, while IMVT-1402 registrational data in CY2026 for difficult-to-treat RA represents a potentially blockbuster anti-FcRn franchise. The computational drug discovery platform (Silicon Therapeutics) gives Roivant a technology edge in small-molecule design. At $19B market cap with $4.9B cash, the company trades at an enterprise value of ~$14B for a pipeline that includes 8 Phase II and 3 Phase III programs across autoimmune, pulmonary, and dermatology — well below the $7.1B Telavant alone fetched from Roche [1][2]. CEO Gline's track record of value creation through the Vant model provides confidence in execution.</w:t>
      </w:r>
    </w:p>
    <w:p>
      <w:pPr>
        <w:spacing w:after="120"/>
      </w:pPr>
      <w:r>
        <w:rPr>
          <w:rFonts w:ascii="Calibri" w:hAnsi="Calibri"/>
          <w:b w:val="0"/>
          <w:color w:val="3A4A28"/>
          <w:sz w:val="20"/>
        </w:rPr>
        <w:t>The bear case is the classic biotech risk profile: the company reported a net loss of $809M over the trailing twelve months on just $13.3M in revenue, and will remain deeply unprofitable until product approvals and commercial launches materialize [4]. Clinical trial failures could wipe out billions in pipeline value overnight — the failed Axovant (Alzheimer's) program is a cautionary precedent from Roivant's own history [2]. Revenue declined 77.8% YoY as Telavant milestone payments dried up, and no significant product revenue is expected until 2027 at the earliest. The $19B market cap prices in substantial pipeline success; if key programs (brepocitinib, IMVT-1402) stumble in late-stage trials, the stock could face severe downside. The LNP litigation against Moderna is uncertain, and founder Vivek Ramaswamy's political activities create ongoing reputational complexity even though he left the company in 2021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Brepocitinib NDA filing for dermatomyositis in early CY2026 with potential commercial launch early CY2027, representing Roivant's first proprietary marketed drug [1]</w:t>
      </w:r>
    </w:p>
    <w:p>
      <w:pPr>
        <w:spacing w:before="40" w:after="40"/>
        <w:ind w:left="283"/>
      </w:pPr>
      <w:r>
        <w:rPr>
          <w:rFonts w:ascii="Calibri" w:hAnsi="Calibri"/>
          <w:b/>
          <w:color w:val="4A6B25"/>
          <w:sz w:val="20"/>
        </w:rPr>
        <w:t xml:space="preserve">2. </w:t>
      </w:r>
      <w:r>
        <w:rPr>
          <w:rFonts w:ascii="Calibri" w:hAnsi="Calibri"/>
          <w:b w:val="0"/>
          <w:color w:val="3A4A28"/>
          <w:sz w:val="20"/>
        </w:rPr>
        <w:t>IMVT-1402 registrational trial topline data in CY2026 for difficult-to-treat RA — accelerated from prior guidance, potentially a blockbuster anti-FcRn franchise [1]</w:t>
      </w:r>
    </w:p>
    <w:p>
      <w:pPr>
        <w:spacing w:before="40" w:after="40"/>
        <w:ind w:left="283"/>
      </w:pPr>
      <w:r>
        <w:rPr>
          <w:rFonts w:ascii="Calibri" w:hAnsi="Calibri"/>
          <w:b/>
          <w:color w:val="4A6B25"/>
          <w:sz w:val="20"/>
        </w:rPr>
        <w:t xml:space="preserve">3. </w:t>
      </w:r>
      <w:r>
        <w:rPr>
          <w:rFonts w:ascii="Calibri" w:hAnsi="Calibri"/>
          <w:b w:val="0"/>
          <w:color w:val="3A4A28"/>
          <w:sz w:val="20"/>
        </w:rPr>
        <w:t>LNP patent litigation against Moderna expanding to international lawsuits with first trials expected CY2026, potentially worth billions if successful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trial binary risk — key pipeline programs (brepocitinib, IMVT-1402, mosliciguat) could fail in late-stage trials, destroying billions in expected value given the $19B market cap [1]</w:t>
      </w:r>
    </w:p>
    <w:p>
      <w:pPr>
        <w:spacing w:before="40" w:after="40"/>
        <w:ind w:left="283"/>
      </w:pPr>
      <w:r>
        <w:rPr>
          <w:rFonts w:ascii="Calibri" w:hAnsi="Calibri"/>
          <w:b/>
          <w:color w:val="4A6B25"/>
          <w:sz w:val="20"/>
        </w:rPr>
        <w:t xml:space="preserve">2. </w:t>
      </w:r>
      <w:r>
        <w:rPr>
          <w:rFonts w:ascii="Calibri" w:hAnsi="Calibri"/>
          <w:b w:val="0"/>
          <w:color w:val="3A4A28"/>
          <w:sz w:val="20"/>
        </w:rPr>
        <w:t>No significant product revenue until 2027 at earliest, with $809M annual net loss and $334M negative free cash flow creating sustained cash burn despite $4.9B reserves [4]</w:t>
      </w:r>
    </w:p>
    <w:p>
      <w:pPr>
        <w:spacing w:before="40" w:after="40"/>
        <w:ind w:left="283"/>
      </w:pPr>
      <w:r>
        <w:rPr>
          <w:rFonts w:ascii="Calibri" w:hAnsi="Calibri"/>
          <w:b/>
          <w:color w:val="4A6B25"/>
          <w:sz w:val="20"/>
        </w:rPr>
        <w:t xml:space="preserve">3. </w:t>
      </w:r>
      <w:r>
        <w:rPr>
          <w:rFonts w:ascii="Calibri" w:hAnsi="Calibri"/>
          <w:b w:val="0"/>
          <w:color w:val="3A4A28"/>
          <w:sz w:val="20"/>
        </w:rPr>
        <w:t>Execution complexity of managing multiple decentralized Vant subsidiaries across autoimmune, pulmonary, and dermatology simultaneously, with Axovant's Alzheimer's failure as a cautionary precedent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Drug development is protected by regulatory moats (FDA approval, IP protection, clinical trial requirements) that AI cannot shortcut — even if AI designs a molecule, it must still go through years of clinical trials and regulatory review. However, AI tools are lowering the barriers for competitors to discover and optimize drug candidates, potentially compressing Roivant's competitive advantage in computational drug design over time. The biopharma industry faces moderate AI disruption as AI-driven companies accelerate discovery timelines. AI Opportunity (1/1): Roivant's Silicon Therapeutics computational physics platform, acquired for $450M, is a genuine AI-driven drug discovery engine led by former D.E. Shaw Research scientists [2]. The company describes itself as one of the first large-scale pharma-tech companies, using technology in every aspect from discovery to clinical trial monitoring.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Roivant Sciences FY2025 Earnings Release and 2025 Investor Day — pipeline updates, $4.9B cash, brepocitinib NDA timeline, IMVT-1402 acceleration, March-June 2025</w:t>
      </w:r>
    </w:p>
    <w:p>
      <w:pPr>
        <w:spacing w:before="20" w:after="20"/>
        <w:ind w:left="170"/>
      </w:pPr>
      <w:r>
        <w:rPr>
          <w:rFonts w:ascii="Calibri" w:hAnsi="Calibri"/>
          <w:b/>
          <w:color w:val="4A6B25"/>
          <w:sz w:val="15"/>
        </w:rPr>
        <w:t xml:space="preserve">2. </w:t>
      </w:r>
      <w:r>
        <w:rPr>
          <w:rFonts w:ascii="Calibri" w:hAnsi="Calibri"/>
          <w:b w:val="0"/>
          <w:color w:val="3A4A28"/>
          <w:sz w:val="17"/>
        </w:rPr>
        <w:t>BioPharma Dive, Wikipedia, Roivant Corporate — CEO Matt Gline profile, Vant model, Silicon Therapeutics acquisition ($450M), Telavant sale to Roche ($7.1B), Pfizer partnership</w:t>
      </w:r>
    </w:p>
    <w:p>
      <w:pPr>
        <w:spacing w:before="20" w:after="20"/>
        <w:ind w:left="170"/>
      </w:pPr>
      <w:r>
        <w:rPr>
          <w:rFonts w:ascii="Calibri" w:hAnsi="Calibri"/>
          <w:b/>
          <w:color w:val="4A6B25"/>
          <w:sz w:val="15"/>
        </w:rPr>
        <w:t xml:space="preserve">3. </w:t>
      </w:r>
      <w:r>
        <w:rPr>
          <w:rFonts w:ascii="Calibri" w:hAnsi="Calibri"/>
          <w:b w:val="0"/>
          <w:color w:val="3A4A28"/>
          <w:sz w:val="17"/>
        </w:rPr>
        <w:t>Axios, Yahoo Finance — Vivek Ramaswamy ESG controversy, Roivant Social Ventures, DEI practices, Sustainalytics ESG ratings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ROIV (Roivant Sciences),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