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ROK</w:t>
      </w:r>
      <w:r>
        <w:rPr>
          <w:rFonts w:ascii="Calibri" w:hAnsi="Calibri"/>
          <w:b/>
          <w:color w:val="1A2010"/>
          <w:sz w:val="40"/>
        </w:rPr>
        <w:t xml:space="preserve">  Rockwell Automation, Inc.</w:t>
      </w:r>
    </w:p>
    <w:p>
      <w:pPr>
        <w:spacing w:after="120"/>
      </w:pPr>
      <w:r>
        <w:rPr>
          <w:rFonts w:ascii="Calibri" w:hAnsi="Calibri"/>
          <w:b/>
          <w:color w:val="6E8450"/>
          <w:sz w:val="18"/>
        </w:rPr>
        <w:t>GROWTH SLEEVE · 2026-05-06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Rockwell Automation, Inc. provides industrial automation and digital transformation solutions across Intelligent Devices, Software &amp; Control, and Lifecycle Services segments. The company serves discrete, hybrid, and process manufacturing end markets in over 100 countries, offering drives, motion, safety, control software, digital twin simulation, cybersecurity, and AI-enabled analytics products.</w:t>
      </w:r>
    </w:p>
    <w:p>
      <w:r>
        <w:rPr>
          <w:rFonts w:ascii="Calibri" w:hAnsi="Calibri"/>
          <w:b/>
          <w:color w:val="6E8450"/>
          <w:sz w:val="18"/>
        </w:rPr>
        <w:t>26,000 Employees · https://www.rockwellautomation.com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Rockwell is the world's largest pure-play industrial automation company, deploying generative AI in its FactoryTalk programming environment to convert natural language to PLC code and launching LogixAI, VisionAI, and GuardianAI predictive analytics tools [3]. Q2 FY2026 revenue grew 12% YoY to $2.24B with organic growth of 9%, driven by semiconductor (+10%), e-commerce/warehouse automation (+20%), and automotive segments [1]. R&amp;D intensity remains robust as the company expands its software-defined automation platform, and the recent partnership with Microsoft on industrial AI copilots reinforces its innovation trajectory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Blake Moret articulates a compelling mission around enabling manufacturers to 'be more resilient, agile, and sustainable,' with genuine workforce development passion that extends to STEM education initiatives [3]. Glassdoor rating of 3.7/5.0 with 72% recommending the company reflects solid but not elite employee sentiment; reviews cite positive culture and innovation focus but flag limited upward mobility and internal politics [4]. The company exceeded its 2025 sustainability goal of 90% landfill diversion and has maintained dividend payments since 1982, signaling long-term ownership commitment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ROE of 27.2% is well above the 15% target, and debt-to-equity of 111% is manageable for an industrial company with strong free cash flow generation [2]. Q2 FY2026 operating margin expanded 350 bps to 22.5%, with full-year adjusted EPS guidance raised to $12.50-$13.10 [1]. Forward P/E of 31.7x and PEG of 2.19 reflect premium valuation, while profit margin of 12.4% trails the 20% target, partially offset by the asset-light software mix shift underway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Rockwell demonstrates strong existential flexibility through its decisive pivot from a hardware-centric to software-defined automation model, and actively acknowledges worthy rivals like Siemens and ABB. However, the company's trusting teams score is tempered by mixed Glassdoor reviews citing internal politics, and leadership courage remains incremental rather than transformative.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Rockwell's purpose of 'expanding human possibility through intelligent automation' has genuine substance — the company was founded in 1903 and has continuously reinvented itself while maintaining its industrial automation core. The mission extends beyond profit to workforce transformation and sustainability, but lacks the transcendent quality of a truly visionary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3.7/5.0 with 72% recommendation indicates adequate but not exceptional trust. Employees praise innovation culture, collaboration, and work-life balance, but flag internal politics and limited upward mobility as persistent issues that suggest trust is earned situationally rather than culturally embedded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Rockwell openly benchmarks against Siemens (digital twin), ABB (robotics), and Emerson (process automation), using these rivals to sharpen its software-defined differentiation strategy rather than dismissing them. The company's annual Automation Fair explicitly showcases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Rockwell's strategic pivot from a hardware-centric business to software-defined automation with recurring revenue represents genuine existential flexibility. The company invested heavily in Plex (cloud MES), Fiix (CMMS), and Kalypso (digital consulting) acquisitions, fundamentally reshaping its business model toward higher-margin software and services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Blake Moret has led meaningful strategic shifts toward software and digital services, but the transformation has been methodical and incremental rather than bold. The company raised guidance in Q2 FY2026 but has not made paradigm-breaking bets that sacrifice short-term results for long-term positioning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Rockwell Automation is the premier pure-play industrial automation company benefiting from secular trends in reshoring, smart manufacturing, and AI-driven factory digitization. Q2 FY2026 results demonstrated accelerating momentum with 12% revenue growth and 32% adjusted EPS growth, prompting management to raise full-year guidance to $12.50-$13.10 adjusted EPS [1]. The company's software-defined automation strategy — anchored by FactoryTalk, Plex cloud MES, and embedded AI tools — is shifting the revenue mix toward higher-margin recurring streams, while the $8.9B revenue midpoint guidance reflects broad-based demand across semiconductor, e-commerce, and automotive end markets [1][2].</w:t>
      </w:r>
    </w:p>
    <w:p>
      <w:pPr>
        <w:spacing w:after="120"/>
      </w:pPr>
      <w:r>
        <w:rPr>
          <w:rFonts w:ascii="Calibri" w:hAnsi="Calibri"/>
          <w:b w:val="0"/>
          <w:color w:val="3A4A28"/>
          <w:sz w:val="20"/>
        </w:rPr>
        <w:t>The primary risk is Rockwell's premium valuation at 31.7x forward earnings with a PEG of 2.19, leaving limited margin of safety if the manufacturing capex cycle softens [2]. Profit margins at 12.4% trail industrial peers despite operating margin expansion, and the company's revenue declined from $9.06B in FY2023 to $8.26B in FY2024 before recovering, highlighting cyclical vulnerability. Macro risks including tariff uncertainty and potential demand destruction in automotive and consumer goods segments could stall the recovery trajectory, and the software transition execution must accelerate to justify the current multiple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FY2026 guidance raised to $12.50-$13.10 adjusted EPS with 5-9% organic revenue growth, driven by semiconductor and e-commerce automation demand [1]</w:t>
      </w:r>
    </w:p>
    <w:p>
      <w:pPr>
        <w:spacing w:before="40" w:after="40"/>
        <w:ind w:left="283"/>
      </w:pPr>
      <w:r>
        <w:rPr>
          <w:rFonts w:ascii="Calibri" w:hAnsi="Calibri"/>
          <w:b/>
          <w:color w:val="4A6B25"/>
          <w:sz w:val="20"/>
        </w:rPr>
        <w:t xml:space="preserve">2. </w:t>
      </w:r>
      <w:r>
        <w:rPr>
          <w:rFonts w:ascii="Calibri" w:hAnsi="Calibri"/>
          <w:b w:val="0"/>
          <w:color w:val="3A4A28"/>
          <w:sz w:val="20"/>
        </w:rPr>
        <w:t>AI-enabled product suite (LogixAI, VisionAI, GuardianAI) positions Rockwell to capture industrial AI spend as 95% of manufacturers invest in AI [3]</w:t>
      </w:r>
    </w:p>
    <w:p>
      <w:pPr>
        <w:spacing w:before="40" w:after="40"/>
        <w:ind w:left="283"/>
      </w:pPr>
      <w:r>
        <w:rPr>
          <w:rFonts w:ascii="Calibri" w:hAnsi="Calibri"/>
          <w:b/>
          <w:color w:val="4A6B25"/>
          <w:sz w:val="20"/>
        </w:rPr>
        <w:t xml:space="preserve">3. </w:t>
      </w:r>
      <w:r>
        <w:rPr>
          <w:rFonts w:ascii="Calibri" w:hAnsi="Calibri"/>
          <w:b w:val="0"/>
          <w:color w:val="3A4A28"/>
          <w:sz w:val="20"/>
        </w:rPr>
        <w:t>Software mix shift toward recurring revenue through Plex cloud MES and FactoryTalk SaaS should expand margins and reduce cyclicality over time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(31.7x forward P/E, PEG 2.19) provides limited downside protection if manufacturing capex cycle turns [2]</w:t>
      </w:r>
    </w:p>
    <w:p>
      <w:pPr>
        <w:spacing w:before="40" w:after="40"/>
        <w:ind w:left="283"/>
      </w:pPr>
      <w:r>
        <w:rPr>
          <w:rFonts w:ascii="Calibri" w:hAnsi="Calibri"/>
          <w:b/>
          <w:color w:val="4A6B25"/>
          <w:sz w:val="20"/>
        </w:rPr>
        <w:t xml:space="preserve">2. </w:t>
      </w:r>
      <w:r>
        <w:rPr>
          <w:rFonts w:ascii="Calibri" w:hAnsi="Calibri"/>
          <w:b w:val="0"/>
          <w:color w:val="3A4A28"/>
          <w:sz w:val="20"/>
        </w:rPr>
        <w:t>Revenue cyclicality demonstrated by FY2024 decline to $8.26B from FY2023's $9.06B peak creates volatility risk [2]</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Siemens, ABB, and Emerson in digital automation, plus emerging software-native players targeting the IT/OT convergence space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a significant tailwind for Rockwell rather than a threat — the company is embedding AI directly into its product suite through LogixAI predictive maintenance, VisionAI quality inspection, and generative AI code generation for programmable logic controllers [3]. Ninety-five percent of manufacturers surveyed by Rockwell are investing in AI, validating demand for its industrial AI solutions [3]. The company's deep OT (operational technology) domain expertise and installed base of 30M+ connected devices create a defensible data moat that pure software AI competitors cannot easily replicate, while the IT/OT convergence trend drives cybersecurity AI adoption where Rockwell is well-positioned [3]. AI Opportunity tiebreaker: 1/1 — Rockwell is an AI enabler in its industry.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Rockwell Automation Q2 FY2026 Earnings Release and Guidance Update, May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ROK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Rockwell Automation Industrial AI product announcements and State of Smart Manufacturing Report, 2025-2026</w:t>
      </w:r>
    </w:p>
    <w:p>
      <w:pPr>
        <w:spacing w:before="20" w:after="20"/>
        <w:ind w:left="170"/>
      </w:pPr>
      <w:r>
        <w:rPr>
          <w:rFonts w:ascii="Calibri" w:hAnsi="Calibri"/>
          <w:b/>
          <w:color w:val="4A6B25"/>
          <w:sz w:val="15"/>
        </w:rPr>
        <w:t xml:space="preserve">4. </w:t>
      </w:r>
      <w:r>
        <w:rPr>
          <w:rFonts w:ascii="Calibri" w:hAnsi="Calibri"/>
          <w:b w:val="0"/>
          <w:color w:val="3A4A28"/>
          <w:sz w:val="17"/>
        </w:rPr>
        <w:t>Glassdoor — Rockwell Automation employee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Rockwell Automation Sustainability Report and Corporate Website,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