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ROP</w:t>
      </w:r>
      <w:r>
        <w:rPr>
          <w:rFonts w:ascii="Calibri" w:hAnsi="Calibri"/>
          <w:b/>
          <w:color w:val="1A2010"/>
          <w:sz w:val="40"/>
        </w:rPr>
        <w:t xml:space="preserve">  Roper Technologies, Inc.</w:t>
      </w:r>
    </w:p>
    <w:p>
      <w:pPr>
        <w:spacing w:after="120"/>
      </w:pPr>
      <w:r>
        <w:rPr>
          <w:rFonts w:ascii="Calibri" w:hAnsi="Calibri"/>
          <w:b/>
          <w:color w:val="6E8450"/>
          <w:sz w:val="18"/>
        </w:rPr>
        <w:t>GROWTH SLEEVE · 2026-04-24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Roper Technologies is a diversified technology company operating through three segments: Application Software, Network Software, and Technology Enabled Products. The company provides vertical software solutions for healthcare, insurance, food services, transportation, K-12 education, faith-based organizations, and financial services, along with water meters, medical devices, and RF technology. Roper follows an acquisition-driven model, deploying free cash flow into high-quality, asset-light vertical software businesses.</w:t>
      </w:r>
    </w:p>
    <w:p>
      <w:r>
        <w:rPr>
          <w:rFonts w:ascii="Calibri" w:hAnsi="Calibri"/>
          <w:b/>
          <w:color w:val="6E8450"/>
          <w:sz w:val="18"/>
        </w:rPr>
        <w:t>19,400 Employees · https://www.ropertech.com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Roper has successfully transformed from an industrial conglomerate to a software-centric technology company, divesting industrial businesses and acquiring vertical software companies including Vertafore (insurance), Frontline Education (K-12), and multiple SaaS platforms [1][2]. Q1 2026 revenue of $2.10B (11% YoY growth, 6% organic) with 38.1% EBITDA margins demonstrates sustained execution [1]. AI Deployment (2/2): Roper has implemented a 'hub-and-spoke' AI model across its portfolio — centralized AI strategy with decentralized execution — and appointed dedicated AI leadership to drive capabilities across its vertical software businesses [3]. The M&amp;A team evaluates every target through an 'AI-first mindset,' and enterprise-wide agreements with major AI platform vendors enable portfolio-wide deployment [3]. Market Share (1/2): Roper holds leading positions in niche vertical software markets (insurance, healthcare, education, food services) where proprietary data and workflow integration create high switching costs, though it is not a dominant player in any single large market [2]. Pipeline (1/2): Acquisitive growth pipeline is strong with $3.8B remaining share repurchase authorization and ongoing M&amp;A activity, but specific product launches with timelines are not the Roper model [1]. R&amp;D Intensity (1/1): Gross margins of 69.4% reflect high software content and R&amp;D investment embedded in each portfolio company's operations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Roper's purpose centers on building a portfolio of market-leading vertical software businesses that serve specific industries — clear and specific but not deeply inspiring beyond value creation and compounding [2]. The company is fundamentally a capital allocation machine rather than a mission-driven organization. Community Impact (1/2): Roper employs 19,400 people across diverse verticals including church management software (a faith-aligned business), and the company committed to SBTi science-based emission reduction targets in 2024 [4][5]. Employee Retention (1/2): The decentralized operating model allows portfolio companies to maintain their own cultures; CEO Neil Hunn's tenure since 2018 following COO promotion in 2017 suggests leadership stability, and the management team has deep institutional experience [3]. Insider Buying (1/2): The $2.2B share repurchase program and additional $3.0B authorization signal leadership confidence in the company's value, though these are corporate capital allocation decisions rather than personal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Roper's financial profile is outstanding for a software-centric acquirer. Q1 2026 delivered $2.10B revenue (11% YoY), $797M EBITDA (38.1% margin), $562M free cash flow (11% growth), and trailing 12-month FCF of $2.5B (19% 3-year CAGR) [1]. D/E of 55.6% is conservative for an acquisition-heavy model with $10.5B total debt fully supported by $2.5B annual FCF [1]. Forward P/E of 15.6x is attractive for 11% revenue growth with 21% profit margins and 69% gross margins [1]. Revenue growth of 11.3% YoY and estimated 5-year CAGR of ~10% reflect consistent compounding through organic growth plus acquisitions. ROE of 9.0% is below target due to goodwill-heavy balance sheet from acquisitions, the only meaningful weakness [1]. Liquidity floor easily cleared: 1.7M avg volume x $363.76 = $617M daily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Roper Technologies demonstrates strong infinite game qualities through its patient, long-term capital allocation model and 45-year track record of compounding value through disciplined acquisition. The transition from industrial conglomerate to software-centric technology company under CEO Neil Hunn shows genuine strategic vision. However, Roper's purpose is fundamentally about capital allocation and value compounding rather than a transcendent Just Cause, which limits its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Roper's cause — building and nurturing market-leading vertical software businesses that become essential infrastructure for their industries — is genuine and has been validated by decades of consistent execution [2]. The transformation from Roper Industries (industrial conglomerate) to Roper Technologies (software compounder) demonstrates strategic clarity. However, the cause is about capital allocation excellence rather than a vision of a better future that people sacrifice to advance. Two weighted points for a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Roper's decentralized operating model explicitly trusts portfolio company leaders to run their businesses autonomously, with corporate providing capital allocation and strategic direction [2][3]. CEO Neil Hunn's promotion from within (joined 2011, COO 2017, CEO 2018) reflects internal trust and succession planning. The 19,400-employee organization maintains stability across diverse verticals. One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Roper's competitive framing is explicitly about improving its own capital allocation process rather than defeating competitors. The 'AI-first mindset' for M&amp;A evaluation and the hub-and-spoke AI model reflect a company using competitive dynamics (AI disruption) to strengthen its own portfolio [3]. Management has acknowledged AI as both a threat to learn from and an opportunity to embrace, rather than a competitor to destroy. One weighted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Roper's transformation from Roper Industries (pumps, valves, industrial equipment) to Roper Technologies (vertical software compounder) is a textbook example of existential flexibility [2]. The company divested its industrial businesses (including the founding pump business) to focus on asset-light, high-margin vertical software — abandoning what was working to pursue what the strategy demanded. This pivot was driven by strategic vision, not desperation. Two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divest legacy industrial businesses — including the company's namesake pump operations — and pivot entirely to software required courage to walk away from profitable, established revenue streams [2]. The $2.2B share repurchase at premium prices and additional $3.0B authorization signal confidence in long-term value. CEO Hunn has maintained disciplined acquisition criteria even when facing pressure to deploy the $2.5B annual FCF more aggressively [1]. One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Roper Technologies is a best-in-class vertical software compounder delivering 11% revenue growth, 38.1% EBITDA margins, and $2.5B trailing free cash flow (19% 3-year CAGR) in Q1 2026 [1]. At 15.6x forward P/E with raised FY2026 DEPS guidance of $21.80-$22.05, the stock is attractively valued for a company with 69.4% gross margins and a proven acquisition-driven growth model [1]. The $3.8B remaining share repurchase authorization and robust M&amp;A pipeline provide multiple levers for capital deployment. Roper's portfolio of deeply embedded vertical software businesses creates recurring revenue with high switching costs — the company's proprietary data and workflow integration in insurance, healthcare, education, and food services industries make displacement extremely difficult [2][3]. The AI strategy (hub-and-spoke model, dedicated AI leadership, AI-first M&amp;A evaluation) positions Roper to enhance rather than be disrupted by AI [3].</w:t>
      </w:r>
    </w:p>
    <w:p>
      <w:pPr>
        <w:spacing w:after="120"/>
      </w:pPr>
      <w:r>
        <w:rPr>
          <w:rFonts w:ascii="Calibri" w:hAnsi="Calibri"/>
          <w:b w:val="0"/>
          <w:color w:val="3A4A28"/>
          <w:sz w:val="20"/>
        </w:rPr>
        <w:t>The bear case focuses on acquisition integration risk and organic growth limitations. Organic revenue growth of 6% in Q1 2026 — while 5% came from acquisitions — reveals that Roper's impressive headline growth is significantly acquisition-dependent [1]. The $10.5B debt load (against $383M cash) reflects aggressive acquisition financing, and rising interest rates increase the cost of this strategy. ROE of 9.0% is suppressed by goodwill-heavy balance sheet from serial acquisitions, meaning returns on invested capital may be lower than headline margins suggest. EBITDA margins declined 70 basis points YoY in Q1 due to segment mix and higher input costs, and continued compression would pressure the investment thesis [1]. The diversified vertical software model means no single business drives outsized growth, creating a 'growth ceiling' around 10-12% absent larger acquisitions. AI disruption risk — while managed — exists across data analytics, financial software, and estimating businesses in the portfolio [3]. At $37.4B market cap, the stock requires continued M&amp;A execution and organic growth to justify its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DEPS guidance to $21.80-$22.05 with 8% total revenue growth target and $3.8B remaining share repurchase capacity [1]</w:t>
      </w:r>
    </w:p>
    <w:p>
      <w:pPr>
        <w:spacing w:before="40" w:after="40"/>
        <w:ind w:left="283"/>
      </w:pPr>
      <w:r>
        <w:rPr>
          <w:rFonts w:ascii="Calibri" w:hAnsi="Calibri"/>
          <w:b/>
          <w:color w:val="4A6B25"/>
          <w:sz w:val="20"/>
        </w:rPr>
        <w:t xml:space="preserve">2. </w:t>
      </w:r>
      <w:r>
        <w:rPr>
          <w:rFonts w:ascii="Calibri" w:hAnsi="Calibri"/>
          <w:b w:val="0"/>
          <w:color w:val="3A4A28"/>
          <w:sz w:val="20"/>
        </w:rPr>
        <w:t>AI integration across portfolio through hub-and-spoke model and dedicated AI leadership could accelerate organic growth and expand margins in vertical software businesses [3]</w:t>
      </w:r>
    </w:p>
    <w:p>
      <w:pPr>
        <w:spacing w:before="40" w:after="40"/>
        <w:ind w:left="283"/>
      </w:pPr>
      <w:r>
        <w:rPr>
          <w:rFonts w:ascii="Calibri" w:hAnsi="Calibri"/>
          <w:b/>
          <w:color w:val="4A6B25"/>
          <w:sz w:val="20"/>
        </w:rPr>
        <w:t xml:space="preserve">3. </w:t>
      </w:r>
      <w:r>
        <w:rPr>
          <w:rFonts w:ascii="Calibri" w:hAnsi="Calibri"/>
          <w:b w:val="0"/>
          <w:color w:val="3A4A28"/>
          <w:sz w:val="20"/>
        </w:rPr>
        <w:t>Acquisitive growth pipeline targeting high-quality vertical software businesses with AI-first evaluation, supported by $2.5B annual FCF for deployment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only 6% versus 11% total growth reveals significant acquisition dependence — M&amp;A execution risk is the company's primary vulnerability [1]</w:t>
      </w:r>
    </w:p>
    <w:p>
      <w:pPr>
        <w:spacing w:before="40" w:after="40"/>
        <w:ind w:left="283"/>
      </w:pPr>
      <w:r>
        <w:rPr>
          <w:rFonts w:ascii="Calibri" w:hAnsi="Calibri"/>
          <w:b/>
          <w:color w:val="4A6B25"/>
          <w:sz w:val="20"/>
        </w:rPr>
        <w:t xml:space="preserve">2. </w:t>
      </w:r>
      <w:r>
        <w:rPr>
          <w:rFonts w:ascii="Calibri" w:hAnsi="Calibri"/>
          <w:b w:val="0"/>
          <w:color w:val="3A4A28"/>
          <w:sz w:val="20"/>
        </w:rPr>
        <w:t>$10.5B debt load against $383M cash creates leverage risk if acquisition returns disappoint or interest rates remain elevated [1]</w:t>
      </w:r>
    </w:p>
    <w:p>
      <w:pPr>
        <w:spacing w:before="40" w:after="40"/>
        <w:ind w:left="283"/>
      </w:pPr>
      <w:r>
        <w:rPr>
          <w:rFonts w:ascii="Calibri" w:hAnsi="Calibri"/>
          <w:b/>
          <w:color w:val="4A6B25"/>
          <w:sz w:val="20"/>
        </w:rPr>
        <w:t xml:space="preserve">3. </w:t>
      </w:r>
      <w:r>
        <w:rPr>
          <w:rFonts w:ascii="Calibri" w:hAnsi="Calibri"/>
          <w:b w:val="0"/>
          <w:color w:val="3A4A28"/>
          <w:sz w:val="20"/>
        </w:rPr>
        <w:t>EBITDA margin contraction of 70bps in Q1 2026 from segment mix and input costs could continue if acquired businesses underperform integration targets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Roper's vertical software businesses are protected by proprietary data, deep workflow integration, and high switching costs that create meaningful barriers against AI disruption [3]. However, the company's portfolio includes businesses (data analytics, financial software, estimating tools) where AI could enhance or partially automate workflows, creating moderate exposure. Management has proactively addressed this by implementing portfolio-wide AI strategy, appointing AI leadership, and evaluating acquisitions through an 'AI-first mindset' [3]. The primary mitigation is the depth of proprietary data and entrenchment in customer workflows, which create costly barriers to entry. AI Opportunity (1/1): Roper is actively deploying AI across its portfolio — AI-enabled analytics for life insurance, AI-enabled SaaS for digital engagement, and the 'hub-and-spoke' AI model generates AI-enhanced value across vertical software businesses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Roper Technologies Q1 2026 Earnings — $2.10B revenue (11% YoY), $797M EBITDA, $562M FCF, raised FY2026 guidance, April 23, 2026</w:t>
      </w:r>
    </w:p>
    <w:p>
      <w:pPr>
        <w:spacing w:before="20" w:after="20"/>
        <w:ind w:left="170"/>
      </w:pPr>
      <w:r>
        <w:rPr>
          <w:rFonts w:ascii="Calibri" w:hAnsi="Calibri"/>
          <w:b/>
          <w:color w:val="4A6B25"/>
          <w:sz w:val="15"/>
        </w:rPr>
        <w:t xml:space="preserve">2. </w:t>
      </w:r>
      <w:r>
        <w:rPr>
          <w:rFonts w:ascii="Calibri" w:hAnsi="Calibri"/>
          <w:b w:val="0"/>
          <w:color w:val="3A4A28"/>
          <w:sz w:val="17"/>
        </w:rPr>
        <w:t>Roper Technologies Company Profile — Vertical software compounder, industrial-to-software transformation, 19,400 employees, RoperTech.com</w:t>
      </w:r>
    </w:p>
    <w:p>
      <w:pPr>
        <w:spacing w:before="20" w:after="20"/>
        <w:ind w:left="170"/>
      </w:pPr>
      <w:r>
        <w:rPr>
          <w:rFonts w:ascii="Calibri" w:hAnsi="Calibri"/>
          <w:b/>
          <w:color w:val="4A6B25"/>
          <w:sz w:val="15"/>
        </w:rPr>
        <w:t xml:space="preserve">3. </w:t>
      </w:r>
      <w:r>
        <w:rPr>
          <w:rFonts w:ascii="Calibri" w:hAnsi="Calibri"/>
          <w:b w:val="0"/>
          <w:color w:val="3A4A28"/>
          <w:sz w:val="17"/>
        </w:rPr>
        <w:t>Roper Technologies AI Strategy — Hub-and-spoke model, AI leadership appointments, AI-first M&amp;A evaluation, Klover.ai/RoperTech.com, 2026</w:t>
      </w:r>
    </w:p>
    <w:p>
      <w:pPr>
        <w:spacing w:before="20" w:after="20"/>
        <w:ind w:left="170"/>
      </w:pPr>
      <w:r>
        <w:rPr>
          <w:rFonts w:ascii="Calibri" w:hAnsi="Calibri"/>
          <w:b/>
          <w:color w:val="4A6B25"/>
          <w:sz w:val="15"/>
        </w:rPr>
        <w:t xml:space="preserve">4. </w:t>
      </w:r>
      <w:r>
        <w:rPr>
          <w:rFonts w:ascii="Calibri" w:hAnsi="Calibri"/>
          <w:b w:val="0"/>
          <w:color w:val="3A4A28"/>
          <w:sz w:val="17"/>
        </w:rPr>
        <w:t>Roper Technologies ESG — SBTi commitment, Scope 3 emissions tracking, medium ESG risk rating (23 Sustainalytics),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ROP (Roper Technologies),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