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RPGL</w:t>
      </w:r>
      <w:r>
        <w:rPr>
          <w:rFonts w:ascii="Calibri" w:hAnsi="Calibri"/>
          <w:b/>
          <w:color w:val="1A2010"/>
          <w:sz w:val="40"/>
        </w:rPr>
        <w:t xml:space="preserve">  Republic Power Group Limited</w:t>
      </w:r>
    </w:p>
    <w:p>
      <w:pPr>
        <w:spacing w:after="120"/>
      </w:pPr>
      <w:r>
        <w:rPr>
          <w:rFonts w:ascii="Calibri" w:hAnsi="Calibri"/>
          <w:b/>
          <w:color w:val="6E8450"/>
          <w:sz w:val="18"/>
        </w:rPr>
        <w:t>GROWTH SLEEVE · 2026-04-21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Singapore</w:t>
      </w:r>
    </w:p>
    <w:p>
      <w:pPr>
        <w:spacing w:after="80"/>
      </w:pPr>
      <w:r>
        <w:rPr>
          <w:rFonts w:ascii="Calibri" w:hAnsi="Calibri"/>
          <w:b w:val="0"/>
          <w:color w:val="3A4A28"/>
          <w:sz w:val="20"/>
        </w:rPr>
        <w:t>Republic Power Group Limited provides customized enterprise resource planning (ERP) software solutions, consulting and technical support services, and peripheral hardware to corporate clients and government agencies in Singapore and Malaysia. The company also develops AI-powered health tech products (RP Medbot) and participates in environmental tech initiatives. Incorporated in 2015, headquartered in Singapore, and a subsidiary of True Sage International Limited.</w:t>
      </w:r>
    </w:p>
    <w:p>
      <w:r>
        <w:rPr>
          <w:rFonts w:ascii="Calibri" w:hAnsi="Calibri"/>
          <w:b/>
          <w:color w:val="6E8450"/>
          <w:sz w:val="18"/>
        </w:rPr>
        <w:t>8 Employees · https://republicpower.net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Republic Power has not achieved a successful product launch, market pivot, or transformation in the last 5 years; revenue has been highly volatile — $5.0M (FY2023), $0.7M (FY2024), $3.0M (FY2025) — reflecting project-based revenue swings rather than innovation-driven growth [1]. The sharp FY2024 decline was attributed to loss of large projects and a shareholder transition. AI Deployment (1/2): The company has developed RP Medbot, an AI-powered health screening device that measures BMI, blood oxygen, blood pressure, ECG, urine tests, and eye tests with AI analytics [2]. However, no revenue from this product has been quantified, and it appears to be an early-stage initiative. Market Share (0/2): Republic Power is a micro-cap company ($20M market cap) with 8 employees serving a narrow set of clients in Singapore and Malaysia; 70% of revenue comes from a limited number of major clients, and the company has no meaningful market share in the ERP industry [1]. Pipeline (1/2): The company is developing a subscription-based SaaS ERP product currently in pilot testing, expected to officially launch in Q3 FY2026, though the launch has been delayed due to technical bugs [1]. R&amp;D Intensity (0/1): With only 8 employees and $3M revenue, R&amp;D resources are extremely limited relative to ERP industry peers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Republic Power does not articulate a distinctive mission, purpose, or vision beyond providing ERP software solutions to corporate clients and government agencies [2]. The company's purpose is generic and interchangeable with thousands of small IT services firms. Community Impact (0/2): The company participated in Singapore's Enviro Tech Innovation Hub (ETIH@TP) with Temasek Polytechnic, but this appears to be a minor partnership rather than a significant community investment with measurable impact [2]. Employee Retention (0/2): With only 8 full-time employees, no meaningful retention data is available; the micro-scale of the organization makes traditional retention metrics inapplicable [4]. Insider Buying (0/2): No insider buying or selling data was found in the research. The company is a subsidiary of True Sage International Limited, creating complex ownership dynamics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FAILED: Average daily volume of 1,951,914 shares × $0.45 stock price = $878,296, which is below the $1,000,000 minimum liquidity threshold required by the IOWN framework [4]. Infrastructure score is automatically set to 0 regardless of other metrics. For context: Republic Power has $3.0M in revenue (FY2025), a $20M market cap, and only 8 employees. The company received a Nasdaq bid price deficiency notice in January 2026 for trading below $1.00 for 30 consecutive days, and received a non-compliance notice for late filing of its Form 20-F annual report [3]. D/E of 27.0% is low, and the company has $2.1M cash against $1.3M debt, but the micro-scale renders traditional financial metrics unreliable as indicators of institutional-quality infrastructure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Republic Power Group displays predominantly finite-game characteristics. The company lacks a discernible Just Cause beyond commercial survival, faces Nasdaq compliance issues (late 20-F filing, bid price deficiency), and its volatile revenue pattern ($5M to $0.7M to $3M over three years) suggests reactive project-based operations rather than purposeful long-term strategy. The 8-employee organization is too small and too young in its public life to have demonstrated the endurance, trust, or flexibility that characterize infinite-game players.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is evident in Republic Power's public communications [2]. The company exists to sell ERP software and consulting services — there is no articulated vision of a future state that inspires beyond commercial transactions. The company's description as an ERP provider for 'trading, logistics, and property management industries' is a business description, not a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8 full-time employees, traditional team trust metrics are not applicable [4]. However, the Nasdaq non-compliance notices (late Form 20-F filing in November 2025, bid price deficiency in January 2026) suggest governance weaknesses that would undermine organizational trust in a larger company [3]. The shareholder transition in FY2024 that contributed to a 86% revenue decline also signals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was found in the research [1][2]. Republic Power does not publicly discuss competitors, competitive learning, or how rival strengths inform its own improvement. The company's competitive positioning, to the extent it exists, is based on its niche Singapore/Malaysia government relationships rather than a philosophy of continuous improvement driven by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Republic Power has shown some flexibility by expanding beyond traditional ERP software into health tech (RP Medbot with AI analytics) and environmental tech (Enviro Tech Innovation Hub partnership with Temasek Polytechnic), and is developing a SaaS subscription model to complement its project-based revenue [1][2]. For an 8-employee company, this breadth of experimentation is notable, though none of these pivots have yet produced meaningful revenue or validated a new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decisions was found [1][3]. The company's recent history is marked by reactive responses to adverse events — revenue collapse in FY2024 due to client loss, Nasdaq compliance issues, and delayed SaaS product launch due to technical bugs. The late 20-F filing suggests operational governance challenges rather than bold strategic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Republic Power Group is a micro-cap Singapore-based ERP software provider with $3.0M in annual revenue, 8 employees, and a $20M market cap [1][4]. The stock trades at a nominal 3.5x trailing P/E with 12% profit margins and 79% gross margins in FY2025, suggesting the core ERP consulting business is profitable when projects are active. The company is developing a SaaS subscription-based ERP product expected to launch in Q3 FY2026, which could provide more predictable recurring revenue, and its RP Medbot AI health screening device and Enviro Tech Innovation Hub involvement suggest nascent diversification [1][2]. Revenue surged from $0.7M (FY2024) to $3.0M (FY2025), demonstrating recovery from the shareholder-transition-driven trough.</w:t>
      </w:r>
    </w:p>
    <w:p>
      <w:pPr>
        <w:spacing w:after="120"/>
      </w:pPr>
      <w:r>
        <w:rPr>
          <w:rFonts w:ascii="Calibri" w:hAnsi="Calibri"/>
          <w:b w:val="0"/>
          <w:color w:val="3A4A28"/>
          <w:sz w:val="20"/>
        </w:rPr>
        <w:t>The bear case is overwhelming for an institutional-quality investor. Republic Power fails the IOWN liquidity floor ($878K daily traded value vs. $1M minimum), received Nasdaq bid price deficiency and late filing non-compliance notices, and has only 8 employees serving a concentrated client base where 70% of revenue comes from a handful of customers [1][3][4]. Revenue volatility is extreme ($5M to $0.7M to $3M over three years), creating zero visibility into future earnings. The SaaS ERP product launch has been delayed due to technical bugs, and the company competes in a market dominated by Microsoft, SAP, and Oracle who are investing billions in AI-native ERP capabilities [1]. The subsidiary relationship with True Sage International Limited creates complex governance dynamics for minority shareholders. The stock has traded below $1.00, triggering Nasdaq delisting risk, and the company's micro-scale means any single client loss could be catastrophic to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launch of SaaS subscription-based ERP product in Q3 FY2026, creating recurring revenue and reducing project-based volatility [1]</w:t>
      </w:r>
    </w:p>
    <w:p>
      <w:pPr>
        <w:spacing w:before="40" w:after="40"/>
        <w:ind w:left="283"/>
      </w:pPr>
      <w:r>
        <w:rPr>
          <w:rFonts w:ascii="Calibri" w:hAnsi="Calibri"/>
          <w:b/>
          <w:color w:val="4A6B25"/>
          <w:sz w:val="20"/>
        </w:rPr>
        <w:t xml:space="preserve">2. </w:t>
      </w:r>
      <w:r>
        <w:rPr>
          <w:rFonts w:ascii="Calibri" w:hAnsi="Calibri"/>
          <w:b w:val="0"/>
          <w:color w:val="3A4A28"/>
          <w:sz w:val="20"/>
        </w:rPr>
        <w:t>RP Medbot and Enviro Tech partnerships generating measurable revenue, validating diversification beyond traditional ERP consulting [2]</w:t>
      </w:r>
    </w:p>
    <w:p>
      <w:pPr>
        <w:spacing w:before="40" w:after="40"/>
        <w:ind w:left="283"/>
      </w:pPr>
      <w:r>
        <w:rPr>
          <w:rFonts w:ascii="Calibri" w:hAnsi="Calibri"/>
          <w:b/>
          <w:color w:val="4A6B25"/>
          <w:sz w:val="20"/>
        </w:rPr>
        <w:t xml:space="preserve">3. </w:t>
      </w:r>
      <w:r>
        <w:rPr>
          <w:rFonts w:ascii="Calibri" w:hAnsi="Calibri"/>
          <w:b w:val="0"/>
          <w:color w:val="3A4A28"/>
          <w:sz w:val="20"/>
        </w:rPr>
        <w:t>Regaining Nasdaq compliance through sustained stock price above $1.00 and timely financial filings, reducing delisting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from bid price deficiency (&lt;$1.00) and Form 20-F late filing non-compliance, which would severely impair liquidity and institutional access [3]</w:t>
      </w:r>
    </w:p>
    <w:p>
      <w:pPr>
        <w:spacing w:before="40" w:after="40"/>
        <w:ind w:left="283"/>
      </w:pPr>
      <w:r>
        <w:rPr>
          <w:rFonts w:ascii="Calibri" w:hAnsi="Calibri"/>
          <w:b/>
          <w:color w:val="4A6B25"/>
          <w:sz w:val="20"/>
        </w:rPr>
        <w:t xml:space="preserve">2. </w:t>
      </w:r>
      <w:r>
        <w:rPr>
          <w:rFonts w:ascii="Calibri" w:hAnsi="Calibri"/>
          <w:b w:val="0"/>
          <w:color w:val="3A4A28"/>
          <w:sz w:val="20"/>
        </w:rPr>
        <w:t>Extreme client concentration with 70% of revenue from a limited number of clients — loss of a single major account caused an 86% revenue decline in FY2024 [1]</w:t>
      </w:r>
    </w:p>
    <w:p>
      <w:pPr>
        <w:spacing w:before="40" w:after="40"/>
        <w:ind w:left="283"/>
      </w:pPr>
      <w:r>
        <w:rPr>
          <w:rFonts w:ascii="Calibri" w:hAnsi="Calibri"/>
          <w:b/>
          <w:color w:val="4A6B25"/>
          <w:sz w:val="20"/>
        </w:rPr>
        <w:t xml:space="preserve">3. </w:t>
      </w:r>
      <w:r>
        <w:rPr>
          <w:rFonts w:ascii="Calibri" w:hAnsi="Calibri"/>
          <w:b w:val="0"/>
          <w:color w:val="3A4A28"/>
          <w:sz w:val="20"/>
        </w:rPr>
        <w:t>Micro-scale vulnerability with only 8 employees and $3M revenue competing against AI-powered ERP platforms from Microsoft, SAP, and Oracle with billions in R&amp;D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Republic Power's core business — customized ERP software solutions and consulting for Singapore/Malaysia corporate clients and government agencies — faces meaningful AI disruption risk [1][2]. Large-scale AI platforms (Microsoft Dynamics Copilot, SAP Joule, Oracle AI) are integrating AI-native capabilities into enterprise ERP systems, potentially reducing demand for small, custom ERP providers. However, the company's focus on government agencies in Singapore/Malaysia provides some regulatory and relationship-based protection, and customized solutions for niche markets (trading, logistics, property management) are harder for AI to fully automate than generic ERP functions. The 70% client concentration means AI-driven displacement of even one major client could be catastrophic. AI Opportunity (1/1): RP Medbot represents an AI-powered product generating potential (though unquantified) revenue, and the company's involvement in environmental tech innovation suggests awareness of AI-adjacent opportunities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Republic Power Group Form 20-F Annual Report — $3.0M FY2025 revenue, volatile revenue history, 70% client concentration, SaaS pivot, 2025</w:t>
      </w:r>
    </w:p>
    <w:p>
      <w:pPr>
        <w:spacing w:before="20" w:after="20"/>
        <w:ind w:left="170"/>
      </w:pPr>
      <w:r>
        <w:rPr>
          <w:rFonts w:ascii="Calibri" w:hAnsi="Calibri"/>
          <w:b/>
          <w:color w:val="4A6B25"/>
          <w:sz w:val="15"/>
        </w:rPr>
        <w:t xml:space="preserve">2. </w:t>
      </w:r>
      <w:r>
        <w:rPr>
          <w:rFonts w:ascii="Calibri" w:hAnsi="Calibri"/>
          <w:b w:val="0"/>
          <w:color w:val="3A4A28"/>
          <w:sz w:val="17"/>
        </w:rPr>
        <w:t>Republic Power Group corporate website and LinkedIn — RP Medbot AI health screening, Enviro Tech Innovation Hub, CEO Ziyang Long,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Nasdaq compliance notices — bid price deficiency (January 2026) and late 20-F filing (November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RPGL (Republic Power Group),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