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RPM</w:t>
      </w:r>
      <w:r>
        <w:rPr>
          <w:rFonts w:ascii="Calibri" w:hAnsi="Calibri"/>
          <w:b/>
          <w:color w:val="1A2010"/>
          <w:sz w:val="40"/>
        </w:rPr>
        <w:t xml:space="preserve">  RPM International Inc.</w:t>
      </w:r>
    </w:p>
    <w:p>
      <w:pPr>
        <w:spacing w:after="120"/>
      </w:pPr>
      <w:r>
        <w:rPr>
          <w:rFonts w:ascii="Calibri" w:hAnsi="Calibri"/>
          <w:b/>
          <w:color w:val="6E8450"/>
          <w:sz w:val="18"/>
        </w:rPr>
        <w:t>DIVIDEND SLEEVE · 2026-05-04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RPM International is a multinational holding company that manufactures and markets specialty coatings, sealants, building materials, and related services. Operating through four segments — Construction Products Group (CPG), Performance Coatings Group (PCG), Specialty Products Group (SPG), and Consumer Group — the company's brands include Rust-Oleum, DAP, Zinsser, Tremco, and Carboline, serving industrial, commercial, and consumer markets worldwide.</w:t>
      </w:r>
    </w:p>
    <w:p>
      <w:r>
        <w:rPr>
          <w:rFonts w:ascii="Calibri" w:hAnsi="Calibri"/>
          <w:b/>
          <w:color w:val="6E8450"/>
          <w:sz w:val="18"/>
        </w:rPr>
        <w:t>17,778 Employees · https://www.rpminc.com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RPM has steadily expanded through bolt-on acquisitions and organic product line extensions across its four segments, but has not launched transformative new product categories or made pivotal business model shifts in the last five years — growth is incremental, not disruptive [1]. AI Deployment (0/2): No evidence of AI-powered products shipping to customers or quantified AI-driven cost savings; the company's innovation focus is on coatings chemistry and building materials rather than technology deployment. Market Share (2/2): RPM holds leadership positions in several specialty niches — Rust-Oleum is the #1 consumer rust-prevention brand, Tremco leads in commercial roofing systems, and Carboline dominates industrial fireproofing coatings — with consolidated revenue of $7.7B placing it among the largest specialty coatings companies globally [1][5]. Pipeline (1/2): The MAP 2025 (Margin Achievement Plan) initiative is delivering measurable margin improvement with gross margin up 110 bps in Q3 FY2026, and acquisition pipeline remains active, but no specific next-generation product launches have been announced with timelines [1]. R&amp;D Intensity (1/1): R&amp;D spending is consistent with specialty chemical industry peers, with ongoing investment in sustainable coatings formulations and waterproofing technologies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RPM's corporate philosophy, 'The Value of 168' (168 hours in a week), articulates a distinctive purpose: that every hour matters and the company exists to protect and beautify the world while making a positive impact on communities. This is specific, thoughtful, and clearly connects RPM's coatings business to a larger purpose — differentiating it from generic corporate mission statements [3][4]. Community Impact (2/2): RPM's operating companies contribute time, talent, and resources through community programs under the 'Building a Better World' sustainability initiative, with specific programs including charitable giving, volunteer hours, and community reinvestment documented in annual ESG reports [4]. Employee Retention (1/2): Glassdoor rating of 3.7/5 for culture/values with positive employee comments citing 'excellent culture' and 'good company communication'; RPM's GOLD (Global Organizational Leadership Development) program demonstrates structured investment in talent, though no specific retention metrics are available [2]. Insider Buying (1/2): CEO Frank Sullivan holds significant equity from his 38-year tenure at RPM (joined 1987, CEO since 2002); however, recent insider activity shows net selling by officers and directors in late 2025 and early 2026, moderating the score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RPM's financial profile is anchored by exceptional dividend consistency — 51 consecutive years of dividend increases, qualifying as a Dividend King — with a 7.7% 5-year dividend growth CAGR and a manageable 40.5% payout ratio [5]. ROE of 22.9% well exceeds the 15% target, and forward P/E of 17.3x is attractive for a specialty chemicals company with niche market leadership [1][5]. D/E of 92.1% is elevated but within acceptable range for an acquisitive industrial company, and the MAP 2025 cost-savings program is driving margin expansion with gross margin up 110 bps in Q3 FY2026 [1]. The primary weakness is profit margin at 8.6%, typical for specialty manufacturing but well below the 20% target. Revenue growth is moderate at 8.9% YoY and 3.2% 5-year CAGR, reflecting the mature nature of coatings end markets. Liquidity floor easily cleared at $101M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RPM International under the Sullivan family's multi-generational leadership demonstrates strong infinite game characteristics — 51 consecutive years of dividend increases, a distinctive corporate philosophy ('The Value of 168'), and a decentralized operating model that empowers subsidiary brands. CEO Frank Sullivan has led for 24 years, maintaining the company's identity through multiple economic cycles while steadily expanding through disciplined acquisitions.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RPM's 'The Value of 168' philosophy and 'Building a Better World' sustainability framework reflect a genuine cause that connects protecting and beautifying physical infrastructure to broader community impact (2 pts) [3][4]. The cause has been consistent through multiple leadership transitions — Frank Sullivan succeeded his father, Thomas Sullivan, maintaining philosophical continuity. However, it hasn't been tested through existential crisis that would validate it at the highest level.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RPM's decentralized operating model — maintaining dozens of independent subsidiary brands (Rust-Oleum, Tremco, Carboline, DAP) with local management authority — demonstrates meaningful trust in operating leadership (1 pt) [3]. The GOLD leadership development program and Glassdoor reviews citing 'excellent culture' and 'good communication' suggest adequate organizational trust. CEO Sullivan's 24-year tenure provides leadership stability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RPM competes against Sherwin-Williams, PPG Industries, and Axalta Coating Systems with a focus on niche specialization rather than head-to-head scale competition (1 pt). Management commentary focuses on improving RPM's own margin profile (MAP 2025) and product differentiation rather than beating specific competitors — the company explicitly targets market niches where it can be #1 or #2 rather than competing across broad markets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RPM has evolved meaningfully over its 78-year history — from a single corrosion-protection product company to a diversified specialty chemicals platform spanning consumer, construction, performance coatings, and specialty products (1 pt) [3]. The MAP 2025 initiative represents a significant strategic shift toward operational excellence and margin improvement. However, the core business model (acquire and operate specialty coatings brands) has remained fundamentally unchanged, and the company has not made a transformative pivot that redefined its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MAP 2025 initiative — a multi-year operational transformation program — required upfront investment in restructuring during a challenging macro environment, showing willingness to sacrifice short-term results for long-term capability (1 pt) [1]. The Sullivan family's commitment to 51 consecutive years of dividend increases through recessions, raw material spikes, and industry disruption demonstrates principled financial stewardship. However, the company's growth-through-acquisition model is inherently conservative and risk-averse.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RPM International delivered record Q3 FY2026 results with EPS of $0.57 (beating consensus of $0.35) and consolidated net sales growth of 8.9%, driven by strength across CPG, PCG, and acquisitions [1]. The MAP 2025 cost-savings initiative is delivering measurable results with gross margin expanding 110 bps, positioning the company for sustained margin improvement. At 17.3x forward earnings, RPM is reasonably valued for a Dividend King with 22.9% ROE, 51 consecutive years of dividend growth (7.7% 5-year CAGR), and leadership positions in specialty coatings niches that generate recurring maintenance and refurbishment demand [5]. The $7.7B revenue base across four diversified segments provides resilience, and the acquisition pipeline offers continued inorganic growth optionality.</w:t>
      </w:r>
    </w:p>
    <w:p>
      <w:pPr>
        <w:spacing w:after="120"/>
      </w:pPr>
      <w:r>
        <w:rPr>
          <w:rFonts w:ascii="Calibri" w:hAnsi="Calibri"/>
          <w:b w:val="0"/>
          <w:color w:val="3A4A28"/>
          <w:sz w:val="20"/>
        </w:rPr>
        <w:t>The bear case centers on margin fragility and growth limitations. Profit margin of 8.6% remains thin for a specialty chemicals company, leaving little buffer if raw material costs spike or pricing power erodes [5]. Revenue growth of 3.2% 5-year CAGR reflects the mature, GDP-linked nature of coatings end markets — RPM cannot organically grow faster than construction and industrial maintenance spending. D/E of 92.1% reflects acquisition-driven leverage, and total debt of $2.9B requires refinancing in a higher-rate environment. Pension expense and inflationary cost pressures are expected to persist into FY2027 per management commentary [1]. The decentralized operating model, while culturally valuable, creates operational inefficiency that the MAP 2025 program is only partially addressing. Net insider selling in late 2025 and early 2026 suggests management may view the stock as fully valued near $100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MAP 2025 cost-savings program driving sustained gross margin expansion — Q3 FY2026 showed 110 bps improvement, with further gains expected as restructuring benefits compound through FY2027 [1]</w:t>
      </w:r>
    </w:p>
    <w:p>
      <w:pPr>
        <w:spacing w:before="40" w:after="40"/>
        <w:ind w:left="283"/>
      </w:pPr>
      <w:r>
        <w:rPr>
          <w:rFonts w:ascii="Calibri" w:hAnsi="Calibri"/>
          <w:b/>
          <w:color w:val="4A6B25"/>
          <w:sz w:val="20"/>
        </w:rPr>
        <w:t xml:space="preserve">2. </w:t>
      </w:r>
      <w:r>
        <w:rPr>
          <w:rFonts w:ascii="Calibri" w:hAnsi="Calibri"/>
          <w:b w:val="0"/>
          <w:color w:val="3A4A28"/>
          <w:sz w:val="20"/>
        </w:rPr>
        <w:t>Infrastructure spending tailwinds from U.S. infrastructure bill creating multi-year demand for RPM's construction products, waterproofing systems, and protective coatings [1]</w:t>
      </w:r>
    </w:p>
    <w:p>
      <w:pPr>
        <w:spacing w:before="40" w:after="40"/>
        <w:ind w:left="283"/>
      </w:pPr>
      <w:r>
        <w:rPr>
          <w:rFonts w:ascii="Calibri" w:hAnsi="Calibri"/>
          <w:b/>
          <w:color w:val="4A6B25"/>
          <w:sz w:val="20"/>
        </w:rPr>
        <w:t xml:space="preserve">3. </w:t>
      </w:r>
      <w:r>
        <w:rPr>
          <w:rFonts w:ascii="Calibri" w:hAnsi="Calibri"/>
          <w:b w:val="0"/>
          <w:color w:val="3A4A28"/>
          <w:sz w:val="20"/>
        </w:rPr>
        <w:t>Bolt-on acquisition pipeline in specialty coatings niches at attractive multiples, leveraging RPM's decentralized integration model that preserves brand value and customer relationships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Raw material cost inflation — specialty chemical input costs (resins, solvents, pigments) remain volatile, and RPM's 8.6% profit margin provides limited buffer against cost spikes that outpace pricing actions [5]</w:t>
      </w:r>
    </w:p>
    <w:p>
      <w:pPr>
        <w:spacing w:before="40" w:after="40"/>
        <w:ind w:left="283"/>
      </w:pPr>
      <w:r>
        <w:rPr>
          <w:rFonts w:ascii="Calibri" w:hAnsi="Calibri"/>
          <w:b/>
          <w:color w:val="4A6B25"/>
          <w:sz w:val="20"/>
        </w:rPr>
        <w:t xml:space="preserve">2. </w:t>
      </w:r>
      <w:r>
        <w:rPr>
          <w:rFonts w:ascii="Calibri" w:hAnsi="Calibri"/>
          <w:b w:val="0"/>
          <w:color w:val="3A4A28"/>
          <w:sz w:val="20"/>
        </w:rPr>
        <w:t>Construction cycle sensitivity — approximately 40% of revenue depends on construction and building maintenance activity, creating downturn risk if commercial/residential construction weakens [1]</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risk — RPM's growth-through-acquisition model requires continuous deal flow at reasonable valuations, and leverage of 92.1% D/E constrains capacity for larger transformative deals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RPM's core business — manufacturing and distributing specialty coatings, sealants, waterproofing systems, and building materials — is deeply physical and cannot be replicated or substituted by AI [1]. Products like Rust-Oleum coatings, Tremco roofing systems, and Carboline fireproofing require chemical manufacturing, physical distribution, and on-site application by skilled tradespeople. Regulatory requirements for building materials (fire codes, environmental compliance) and the installed-base nature of commercial roofing maintenance create additional moats. AI may actually increase demand through smart building technology requiring more sophisticated coatings and materials. No analyst has flagged AI as a disruption risk for RPM's business model. AI Opportunity (0/1): No quantifiable AI-driven revenue; the company has not deployed AI products or reported AI-related revenue streams. AI may drive incremental efficiency in manufacturing and supply chain but is not a revenue contributor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RPM International Q3 FY2026 Earnings Release — EPS $0.57, revenue growth 8.9%, gross margin +110 bps, April 2026</w:t>
      </w:r>
    </w:p>
    <w:p>
      <w:pPr>
        <w:spacing w:before="20" w:after="20"/>
        <w:ind w:left="170"/>
      </w:pPr>
      <w:r>
        <w:rPr>
          <w:rFonts w:ascii="Calibri" w:hAnsi="Calibri"/>
          <w:b/>
          <w:color w:val="4A6B25"/>
          <w:sz w:val="15"/>
        </w:rPr>
        <w:t xml:space="preserve">2. </w:t>
      </w:r>
      <w:r>
        <w:rPr>
          <w:rFonts w:ascii="Calibri" w:hAnsi="Calibri"/>
          <w:b w:val="0"/>
          <w:color w:val="3A4A28"/>
          <w:sz w:val="17"/>
        </w:rPr>
        <w:t>Glassdoor — RPM International employee reviews, culture ratings 3.7/5, accessed May 2026</w:t>
      </w:r>
    </w:p>
    <w:p>
      <w:pPr>
        <w:spacing w:before="20" w:after="20"/>
        <w:ind w:left="170"/>
      </w:pPr>
      <w:r>
        <w:rPr>
          <w:rFonts w:ascii="Calibri" w:hAnsi="Calibri"/>
          <w:b/>
          <w:color w:val="4A6B25"/>
          <w:sz w:val="15"/>
        </w:rPr>
        <w:t xml:space="preserve">3. </w:t>
      </w:r>
      <w:r>
        <w:rPr>
          <w:rFonts w:ascii="Calibri" w:hAnsi="Calibri"/>
          <w:b w:val="0"/>
          <w:color w:val="3A4A28"/>
          <w:sz w:val="17"/>
        </w:rPr>
        <w:t>RPM International corporate website — Officers, About RPM, The Value of 168 philosophy</w:t>
      </w:r>
    </w:p>
    <w:p>
      <w:pPr>
        <w:spacing w:before="20" w:after="20"/>
        <w:ind w:left="170"/>
      </w:pPr>
      <w:r>
        <w:rPr>
          <w:rFonts w:ascii="Calibri" w:hAnsi="Calibri"/>
          <w:b/>
          <w:color w:val="4A6B25"/>
          <w:sz w:val="15"/>
        </w:rPr>
        <w:t xml:space="preserve">4. </w:t>
      </w:r>
      <w:r>
        <w:rPr>
          <w:rFonts w:ascii="Calibri" w:hAnsi="Calibri"/>
          <w:b w:val="0"/>
          <w:color w:val="3A4A28"/>
          <w:sz w:val="17"/>
        </w:rPr>
        <w:t>RPM International Sustainability Report — Building a Better World ESG program,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RPM (RPM International), retrieved May 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