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RPRX</w:t>
      </w:r>
      <w:r>
        <w:rPr>
          <w:rFonts w:ascii="Calibri" w:hAnsi="Calibri"/>
          <w:b/>
          <w:color w:val="1A2010"/>
          <w:sz w:val="40"/>
        </w:rPr>
        <w:t xml:space="preserve">  Royalty Pharma plc</w:t>
      </w:r>
    </w:p>
    <w:p>
      <w:pPr>
        <w:spacing w:after="120"/>
      </w:pPr>
      <w:r>
        <w:rPr>
          <w:rFonts w:ascii="Calibri" w:hAnsi="Calibri"/>
          <w:b/>
          <w:color w:val="6E8450"/>
          <w:sz w:val="18"/>
        </w:rPr>
        <w:t>GROWTH SLEEVE · 2026-04-07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Royalty Pharma is the largest buyer of biopharmaceutical royalties, with a portfolio of royalties on approximately 35 marketed therapies and 20 development-stage candidates spanning rare disease, oncology, neuroscience, infectious disease, hematology, and diabetes. Founded in 1996, the company funds innovation by acquiring royalty interests from academic institutions, research hospitals, and biotech companies.</w:t>
      </w:r>
    </w:p>
    <w:p>
      <w:r>
        <w:rPr>
          <w:rFonts w:ascii="Calibri" w:hAnsi="Calibri"/>
          <w:b/>
          <w:color w:val="6E8450"/>
          <w:sz w:val="18"/>
        </w:rPr>
        <w:t>100 Employees · https://www.royaltypharma.com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Royalty Pharma deployed $2.6B in capital on new royalty transactions in 2025, growing Portfolio Receipts 16% to $3.254B and Royalty Receipts 13% to $3.127B [1]. The company has successfully scaled its unique royalty acquisition model, expanding from ~$2.2B in 2022 GAAP revenue to over $3.2B in portfolio receipts. AI Deployment (1/2): RPRX appointed Lucas Glass (ex-IQVIA SVP) as Head of AI in April 2026 to embed AI into royalty evaluation and deal sourcing, signaling serious intent but no shipped AI products yet [2]. Market Share (2/2): Royalty Pharma is the dominant player in biopharmaceutical royalty acquisition with no direct public competitor of comparable scale; the company's $4.7B deal spree in recent years reinforces its market-defining position [1]. Pipeline (1/2): 20 development-stage product candidates provide future royalty upside, but specific launch dates and revenue visibility are limited since RPRX depends on partners' clinical timelines. R&amp;D Intensity (0/1): As a royalty aggregator, RPRX does not conduct R&amp;D — it funds others' innovation through capital deployment rather than internal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Royalty Pharma's stated purpose is to be 'the leading funder of innovation in the biopharmaceutical industry' — clear and specific to their business but not deeply inspirational or transformative beyond the obvious funding role [3]. Community Impact (1/2): The company has committed approximately $29M to alliances addressing complex healthcare challenges and introduced a Social Bond Framework aligned with UN SDG 3 (Good Health), but the scale is modest relative to peers [3]. Employee Retention (1/2): With only ~100 employees, RPRX maintains a lean, team-oriented culture with reported long tenure and low turnover, though specific retention metrics are not publicly disclosed [2]. Insider Buying (1/2): Pablo Legorreta, founder and CEO since 1996, maintains significant equity exposure as a 30-year leader, though net insider buying data for the past 12 months shows mixed signals with the $1.2B share repurchase program demonstrating corporate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Royalty Pharma's financial profile is exceptionally strong for its unique business model. Forward P/E of 8.7x is remarkably low, reflecting the market's undervaluation of predictable royalty cash flows [4]. D/E of 92.3% is elevated but manageable against $2.49B operating cash flow and $2.97B adjusted EBITDA [1]. ROE of 13.2% is slightly below the 15% target but reflects the asset-heavy royalty portfolio structure. Profit margin of 32.4% demonstrates the capital-light operating model with only ~100 employees [4]. Revenue growth YoY of 4.8% (GAAP) understates the business momentum — Portfolio Receipts grew 16% in 2025 [1]. The 7% dividend increase to $0.235/share quarterly signals management confidence. Liquidity floor easily cleared: 3.6M avg volume x $47.32 = $171.6M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Royalty Pharma under Pablo Legorreta's 30-year leadership demonstrates meaningful infinite game characteristics — a founder-led company with a consistent business model that has endured through multiple biotech cycles. The focus on funding biopharmaceutical innovation creates a purpose beyond quarterly earnings, though the business model is ultimately financial rather than mission-driven.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Royalty Pharma's cause — funding biopharmaceutical innovation by providing capital to researchers and institutions — connects financial returns to advancing human health. Pablo Legorreta has pursued this singular vision for 30 years since founding the company in 1996, surviving multiple biotech busts and industry transformations [1]. The cause is genuine but ultimately financial — RPRX profits from others' medical breakthroughs rather than creating them directly.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~100 employees, Royalty Pharma operates as an exceptionally lean organization where trust and collaboration are essential. Reports indicate a team-oriented culture with long-tenured staff and low turnover [2]. The small team size inherently requires high trust and empowerment. However, limited public data on organizational culture makes deeper assessment difficult.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RPRX competes for deal flow against private equity, venture capital, and direct pharma partnerships. Management's language focuses on being the preferred partner for innovation funding rather than defeating competitors, and the company's willingness to adopt AI tools from IQVIA (a potential rival in analytics) shows openness to learning from others' strengths [2].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Royalty Pharma has incrementally evolved from a private royalty fund to a publicly traded company (IPO 2020), expanding from pure royalty acquisitions to include R&amp;D funding partnerships and synthetic royalties. The appointment of a Head of AI in 2026 signals willingness to evolve the deal evaluation model [2]. However, the core business model has remained fundamentally unchanged for 30 years — buy royalties, collect cash flows. This is more consistency than flexibility.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Legorreta's $4.7B deal spree and willingness to deploy $2.6B in capital in a single year demonstrates conviction in long-term royalty value over short-term capital preservation [1]. The company's $1.2B share repurchase program and 7% dividend increase during a period of decelerating growth guidance (3-8% for 2026 vs 13% in 2025) shows confidence in the portfolio's durability.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Royalty Pharma offers a unique, capital-light exposure to biopharmaceutical innovation through its dominant royalty acquisition platform. FY2025 Portfolio Receipts grew 16% to $3.254B with $2.97B adjusted EBITDA, while the $2.6B deployed on new transactions replenishes the portfolio [1]. At a forward P/E of just 8.7x — remarkably cheap for a business generating $2.49B in operating cash flow — the market appears to be pricing in excessive concern about patent cliffs and LOE (loss of exclusivity) headwinds [4]. The 7% dividend increase to $0.94/share annualized and $1.2B share repurchase program demonstrate shareholder-friendly capital allocation. With ~35 marketed therapies and 20 development-stage candidates, the portfolio is diversified across therapeutic areas, and the new Head of AI hire signals modernization of deal sourcing capabilities [2].</w:t>
      </w:r>
    </w:p>
    <w:p>
      <w:pPr>
        <w:spacing w:after="120"/>
      </w:pPr>
      <w:r>
        <w:rPr>
          <w:rFonts w:ascii="Calibri" w:hAnsi="Calibri"/>
          <w:b w:val="0"/>
          <w:color w:val="3A4A28"/>
          <w:sz w:val="20"/>
        </w:rPr>
        <w:t>The bear case centers on decelerating growth and portfolio concentration risk. 2026 guidance of 3-8% Royalty Receipts growth represents a sharp slowdown from 13% in 2025, driven by loss of exclusivity on key products and biosimilar competition [1]. The $9.2B debt load, while manageable against current cash flows, limits financial flexibility if royalty receipts decline faster than expected. GAAP revenue of $2.38B significantly understates the economic reality (Portfolio Receipts of $3.25B), creating accounting confusion that may suppress the valuation multiple. The business model depends entirely on management's ability to identify and acquire high-quality royalty streams — a single bad deal at the $1B+ scale could impair returns. Cystic fibrosis franchise concentration and Trelegy biosimilar risk represent specific near-term headwinds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8.7x represents deep value for a $2.49B operating cash flow business — multiple expansion to pharma-average 12-15x would drive 40-70% upside [4]</w:t>
      </w:r>
    </w:p>
    <w:p>
      <w:pPr>
        <w:spacing w:before="40" w:after="40"/>
        <w:ind w:left="283"/>
      </w:pPr>
      <w:r>
        <w:rPr>
          <w:rFonts w:ascii="Calibri" w:hAnsi="Calibri"/>
          <w:b/>
          <w:color w:val="4A6B25"/>
          <w:sz w:val="20"/>
        </w:rPr>
        <w:t xml:space="preserve">2. </w:t>
      </w:r>
      <w:r>
        <w:rPr>
          <w:rFonts w:ascii="Calibri" w:hAnsi="Calibri"/>
          <w:b w:val="0"/>
          <w:color w:val="3A4A28"/>
          <w:sz w:val="20"/>
        </w:rPr>
        <w:t>20 development-stage product candidates provide pipeline optionality, with each approval creating a new long-duration royalty stream [1]</w:t>
      </w:r>
    </w:p>
    <w:p>
      <w:pPr>
        <w:spacing w:before="40" w:after="40"/>
        <w:ind w:left="283"/>
      </w:pPr>
      <w:r>
        <w:rPr>
          <w:rFonts w:ascii="Calibri" w:hAnsi="Calibri"/>
          <w:b/>
          <w:color w:val="4A6B25"/>
          <w:sz w:val="20"/>
        </w:rPr>
        <w:t xml:space="preserve">3. </w:t>
      </w:r>
      <w:r>
        <w:rPr>
          <w:rFonts w:ascii="Calibri" w:hAnsi="Calibri"/>
          <w:b w:val="0"/>
          <w:color w:val="3A4A28"/>
          <w:sz w:val="20"/>
        </w:rPr>
        <w:t>AI-enhanced deal sourcing under new Head of AI Lucas Glass could improve deal selection quality and expand the addressable market for royalty acquisitions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Royalty Receipts growth guidance of 3-8% signals deceleration from 13% in 2025, driven by loss of exclusivity and biosimilar competition on key therapies like Trelegy [1]</w:t>
      </w:r>
    </w:p>
    <w:p>
      <w:pPr>
        <w:spacing w:before="40" w:after="40"/>
        <w:ind w:left="283"/>
      </w:pPr>
      <w:r>
        <w:rPr>
          <w:rFonts w:ascii="Calibri" w:hAnsi="Calibri"/>
          <w:b/>
          <w:color w:val="4A6B25"/>
          <w:sz w:val="20"/>
        </w:rPr>
        <w:t xml:space="preserve">2. </w:t>
      </w:r>
      <w:r>
        <w:rPr>
          <w:rFonts w:ascii="Calibri" w:hAnsi="Calibri"/>
          <w:b w:val="0"/>
          <w:color w:val="3A4A28"/>
          <w:sz w:val="20"/>
        </w:rPr>
        <w:t>$9.2B total debt against $619M cash creates refinancing risk if interest rates remain elevated, with $350-360M annual interest expense consuming ~14% of portfolio receipts [1]</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cystic fibrosis franchise and dependence on management's deal-sourcing judgment — a single bad acquisition at scale could meaningfully impair portfolio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Royalty Pharma's core business — acquiring royalty streams on approved and development-stage biopharmaceutical therapies — is structurally protected from AI disruption. Drug development remains a physical-world, heavily regulated process requiring clinical trials, FDA approval, and manufacturing that AI cannot replace [2]. However, AI could accelerate drug discovery timelines for RPRX's partners, potentially shortening royalty durations or changing deal economics. The royalty evaluation and deal sourcing process could be enhanced by AI (RPRX is investing here with a new Head of AI), but the fundamental business of owning cash flow streams from approved drugs is immune to AI substitution. AI Opportunity (1/1): RPRX's appointment of Lucas Glass as Head of AI and the initiative to embed AI into deal evaluation and sourcing represents early-stage but meaningful AI revenue enhancement potential, as better AI-driven deal selection could improve portfolio returns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Royalty Pharma Q4 and Full Year 2025 Results — $3.254B Portfolio Receipts, 16% growth, $2.6B deployed, GlobeNewsWire, February 11,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Royalty Pharma — AI and dealmaking hires analysis, Lucas Glass appointment as Head of AI, April 2026</w:t>
      </w:r>
    </w:p>
    <w:p>
      <w:pPr>
        <w:spacing w:before="20" w:after="20"/>
        <w:ind w:left="170"/>
      </w:pPr>
      <w:r>
        <w:rPr>
          <w:rFonts w:ascii="Calibri" w:hAnsi="Calibri"/>
          <w:b/>
          <w:color w:val="4A6B25"/>
          <w:sz w:val="15"/>
        </w:rPr>
        <w:t xml:space="preserve">3. </w:t>
      </w:r>
      <w:r>
        <w:rPr>
          <w:rFonts w:ascii="Calibri" w:hAnsi="Calibri"/>
          <w:b w:val="0"/>
          <w:color w:val="3A4A28"/>
          <w:sz w:val="17"/>
        </w:rPr>
        <w:t>Royalty Pharma 2024 Corporate Responsibility Report and ESG Fact Sheet — $29M healthcare alliances, Social Bond Framework</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RPRX,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