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RRC</w:t>
      </w:r>
      <w:r>
        <w:rPr>
          <w:rFonts w:ascii="Calibri" w:hAnsi="Calibri"/>
          <w:b/>
          <w:color w:val="1A2010"/>
          <w:sz w:val="40"/>
        </w:rPr>
        <w:t xml:space="preserve">  Range Resources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Range Resources Corporation is a natural gas and NGL producer focused on the Appalachian Basin, primarily the Marcellus Shale. The company produced approximately 2.35-2.40 Bcfe/d in 2025 and generated $1.3B in operating cash flow.</w:t>
      </w:r>
    </w:p>
    <w:p>
      <w:r>
        <w:rPr>
          <w:rFonts w:ascii="Calibri" w:hAnsi="Calibri"/>
          <w:b/>
          <w:color w:val="6E8450"/>
          <w:sz w:val="18"/>
        </w:rPr>
        <w:t>564 Employees · https://www.rangeresources.com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Revenue of $3.12B in 2025, up 28.9% YoY, with earnings surging 147.8% driven by higher natural gas prices and operational efficiency [1]. Successfully expanded production capacity. AI Deployment (0/2): No AI products or AI-driven revenue. Market Share (1/2): Meaningful Appalachian gas producer but not a category leader; competes with EQT, Southwestern, and others [1]. Pipeline (1/2): 300 MMcf/d processing expansion coming online mid-2026, targeting 2.5 Bcfe/d year-end 2026 production. R&amp;D Intensity (1/1): Above-average reinvestment with $650-700M capex guidance for 2026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Clear energy production mission connecting to American energy security but not deeply distinctive from E&amp;P peers. Community Impact (1/2): Appalachian community engagement and landowner relationships. Employee Retention (0/2): 564 employees with no retention data available. Insider Buying (1/2): Some insider alignment through equity compensation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Range Resources demonstrates solid financial metrics for an E&amp;P company. Revenue grew 16.3% YoY with profit margin of 22.0% and ROE of 15.9%, both near or above targets [1]. D/E of 31.8% is conservative for E&amp;P. Forward P/E of 10.03 is attractive. The company generated $1.3B operating cash flow and $650M+ free cash flow in 2025, demonstrating strong cash generation [1]. Dividend yield of 0.9% with 13.1% payout ratio is modest. Liquidity floor cleared at $154.6M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Range Resources plays a moderately infinite game, investing through commodity cycles in its Marcellus Shale position while maintaining balance sheet discipline. However, the company's strategy is ultimately commodity-price dependent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4/10): American energy production mission connects to energy security but is industry-standard for E&amp;P companies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Lean 564-employee organization with experienced Appalachian Basin operating team and stable leadership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mindset (0 pts → 3/10): Competitive positioning focuses on being the low-cost Marcellus producer rather than learning from rivals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Range Resources remains a pure-play Appalachian gas producer with no evidence of transformative strategic pivots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Maintained disciplined capital allocation through natural gas price volatility, investing $650-700M in 2026 capex while generating $650M+ free cash flow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Range Resources delivered exceptional 2025 results with revenue of $3.12B (+28.9% YoY), earnings up 147.8%, and $1.3B operating cash flow driven by improving natural gas prices and operational efficiency [1]. At forward P/E of 10.03 with 22% profit margins and 15.9% ROE, the stock is attractively valued for an E&amp;P with growing production. The 300 MMcf/d processing expansion mid-2026 targeting 2.5 Bcfe/d production and 2027 guidance of ~2.6 Bcfe/d show a clear growth pathway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commodity price dependence and limited diversification. Range Resources is a single-basin natural gas producer whose profitability is entirely dependent on Henry Hub and Appalachian gas pricing [1]. Natural gas prices are volatile and a sustained downturn would severely compress margins. The company's $650-700M capex program assumes constructive gas prices. Despite strong 2025 results, the stock's 0.9% dividend yield offers minimal downside protection. Long-term energy transition risks remain, though near-term AI-driven gas demand provides a tailwind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300 MMcf/d processing expansion mid-2026 driving production toward 2.5 Bcfe/d, with 2027 guidance of ~2.6 Bcfe/d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power demand driving sustained natural gas consumption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Free cash flow generation of $650M+ enabling debt reduction and potential shareholder returns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Natural gas price volatility — single commodity exposure with no hedging detail makes earnings highly sensitive to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Single-basin concentration — 100% Marcellus/Appalachian exposure creates geological and regulatory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Energy transition — long-term shift away from fossil fuels could impair asset values, though near-term AI demand provides support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Natural gas production is a physical-world operation involving geology, drilling, and infrastructure that AI structurally cannot displace [1]. AI data center expansion is a direct demand tailwind for natural gas — power generation for AI facilities requires vast amounts of natural gas. Range Resources' Marcellus position near East Coast data centers is strategically valuable. AI Opportunity (0/1): No direct AI revenue generation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Range Resources Q4 2025 Results — $3.12B revenue (+28.9%), $656.7M earnings (+147.8%), $1.3B operating cash flow,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Range Resources 2026 Guidance — $650-700M capex, 2.35-2.40 Bcfe/d production, 300 MMcf/d expansion mid-2026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RRC (Range Resources),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