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w:t>
      </w:r>
      <w:r>
        <w:rPr>
          <w:rFonts w:ascii="Calibri" w:hAnsi="Calibri"/>
          <w:b/>
          <w:color w:val="1A2010"/>
          <w:sz w:val="40"/>
        </w:rPr>
        <w:t xml:space="preserve">  Richtech Robotics Inc.</w:t>
      </w:r>
    </w:p>
    <w:p>
      <w:pPr>
        <w:spacing w:after="120"/>
      </w:pPr>
      <w:r>
        <w:rPr>
          <w:rFonts w:ascii="Calibri" w:hAnsi="Calibri"/>
          <w:b/>
          <w:color w:val="6E8450"/>
          <w:sz w:val="18"/>
        </w:rPr>
        <w:t>GROWTH SLEEVE · 2026-05-12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Richtech Robotics Inc. develops, manufactures, deploys, and sells robotic solutions for automation in the service industry in the United States. Products include Matradee restaurant service robots, ADAM and Scorpion dual-arm AI-powered service robots, Titan autonomous mobile delivery robots, DUST-E autonomous cleaning robots, and Dex industrial humanoid robots.</w:t>
      </w:r>
    </w:p>
    <w:p>
      <w:r>
        <w:rPr>
          <w:rFonts w:ascii="Calibri" w:hAnsi="Calibri"/>
          <w:b/>
          <w:color w:val="6E8450"/>
          <w:sz w:val="18"/>
        </w:rPr>
        <w:t>55 Employees · https://richtechrobotics.com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Richtech has launched multiple product lines since its 2022 rebrand from Creative Displays — Matradee, ADAM, Scorpion, DUST-E, Titan, and Dex humanoid robot — spanning restaurant, retail, and industrial segments, though none has achieved meaningful revenue scale with TTM revenue of only $4.9M [1]. AI Deployment (1/2): Collaborates with Microsoft AI Co-Innovation Labs to bring agentic AI into physical robotics and ships AI-powered dual-arm robots (ADAM) for beverage preparation, but measurable revenue impact remains minimal [2]. Market Share (0/2): Micro-cap participant in the highly fragmented service robotics market with no leadership position or measurable share gains against Bear Robotics, Pudu, or Boston Dynamics. Pipeline (1/2): Dex industrial humanoid robot has been revealed for manufacturing and logistics, but specific launch timelines and revenue visibility remain vague [2]. R&amp;D Intensity (1/1): As a robotics-focused company with 55 employees, R&amp;D spending as a share of revenue is well above industrial sector averages, with CEO Wayne Huang holding 20+ years of computer vision patents.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Richtech's stated purpose is 'AI-driven robotics to solve real-world challenges' — clear about what they do but not distinctive or deeply aspirational, interchangeable with dozens of robotics startups [2]. Community Impact (0/2): No evidence of charitable programs, foundation, or community investment beyond commercial operations at 55-employee scale. Employee Retention (0/2): Glassdoor reviews describe chaotic management, engineers asked to finish multi-month projects in one week, and leadership with 'zero engineering background' — indicative of high turnover and low trust [3]. Insider Buying (0/2): No meaningful net insider buying; COO Phil Zheng sold 100,000 shares ($511K) days before fraud allegations surfaced, and the company faces securities fraud class action lawsuits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($2.75 x 9.5M avg volume = $26.1M daily liquidity). Infrastructure is mechanically weak across most metrics. D/E of 0.18% is excellent (1.0), but ROE is negative at -10.6% (0.0), profit margin is 0% (0.0), and revenue declined -8.8% YoY (0.37). Forward P/E and PEG are unavailable and excluded. Three-year revenue CAGR from FY2022-FY2025 is approximately -5.8%, scoring 0.0 at the floor. Weighted calculation: (1.0x1 + 0.0x2 + 0.37x1 + 0.0x2 + 0.0x1) / 6 x 10 = 2.3, rounded to 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Richtech exhibits predominantly finite-game characteristics. The misleading Microsoft partnership announcement in January 2026 that triggered a securities fraud lawsuit — stock rose 44.6% on the announcement, then fell 20.9% when Microsoft denied the partnership — reveals leadership focused on short-term stock price manipulation rather than building enduring value [4]. Glassdoor reviews describing pressure to sell features before developing them reinforces a quarterly-results mentality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Richtech articulates a purpose of 'solving real-world challenges with AI-driven robotics,' but this reads as marketing rather than a deeply held cause. Strategic decisions — particularly the misleading Microsoft partnership PR that inflated the stock price 44.6% before Microsoft denied it — suggest the company optimizes for market perception over mission advancement [4]. The cause has not been tested through adversity in a way that validates genuine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low psychological safety — engineers describe 'chaotic management,' unrealistic timelines, and leadership that lacks engineering competence. The company is described as 'completely marketing oriented, selling product features before developing them' [3]. COO Phil Zheng's sale of 100,000 shares days before fraud allegations surfaced further erodes internal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language focuses on partnership announcements and product reveals designed to generate market buzz rather than substantive competitive improvement. The misleading Microsoft collaboration announcement suggests a 'win perception' rather than 'improve capability' orientation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Richtech has shown some strategic flexibility, pivoting from its origins as 'Richtech Creative Displays' to robotics in 2022, and expanding from restaurant service robots into industrial humanoid robots (Dex) and data generation services for embodied AI training [1]. These are incremental expansions rather than transformative reinventions, but they demonstrate willingness to evolve the business model across multiple verticals.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The pattern is the opposite — the misleading Microsoft partnership announcement and 8.5M share ATM offering announced one day after suggest leadership optimizes for short-term capital raises and stock price rather than investing in genuine capability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Richtech Robotics occupies an interesting niche in AI-powered service and industrial robotics with multiple product lines spanning restaurants, retail, and manufacturing, and CEO Wayne Huang's 30.67% ownership provides alignment. The Dex humanoid robot and Microsoft AI Co-Innovation Labs collaboration suggest genuine technical capability in embodied AI.</w:t>
      </w:r>
    </w:p>
    <w:p>
      <w:pPr>
        <w:spacing w:after="120"/>
      </w:pPr>
      <w:r>
        <w:rPr>
          <w:rFonts w:ascii="Calibri" w:hAnsi="Calibri"/>
          <w:b w:val="0"/>
          <w:color w:val="3A4A28"/>
          <w:sz w:val="20"/>
        </w:rPr>
        <w:t>However, critical governance concerns dominate the investment case. Multiple securities fraud class action lawsuits allege intentional misrepresentation of the Microsoft partnership, which inflated the stock 44.6% before Microsoft denied it [4]. Short-seller Capybara Research accused the company of being a 'China hustle' rebranding Chinese robots with misrepresented Walmart partnerships [5]. With only $4.9M TTM revenue, negative profitability, and severely damaged credibility, the company needs to resolve legal issues and demonstrate genuine commercial traction before warranting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Dex industrial humanoid robot achieving commercial deployment could open a large addressable market in manufacturing and logistics</w:t>
      </w:r>
    </w:p>
    <w:p>
      <w:pPr>
        <w:spacing w:before="40" w:after="40"/>
        <w:ind w:left="283"/>
      </w:pPr>
      <w:r>
        <w:rPr>
          <w:rFonts w:ascii="Calibri" w:hAnsi="Calibri"/>
          <w:b/>
          <w:color w:val="4A6B25"/>
          <w:sz w:val="20"/>
        </w:rPr>
        <w:t xml:space="preserve">2. </w:t>
      </w:r>
      <w:r>
        <w:rPr>
          <w:rFonts w:ascii="Calibri" w:hAnsi="Calibri"/>
          <w:b w:val="0"/>
          <w:color w:val="3A4A28"/>
          <w:sz w:val="20"/>
        </w:rPr>
        <w:t>Resolution or dismissal of securities fraud lawsuits removing the legal overhang and restoring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Verifiable enterprise customer deployments with sustained revenue traction demonstrating genuine product-market 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Multiple securities fraud class action lawsuits over misleading Microsoft partnership announcement — adverse outcome could be existential for a micro-cap with $4.9M revenue [4]</w:t>
      </w:r>
    </w:p>
    <w:p>
      <w:pPr>
        <w:spacing w:before="40" w:after="40"/>
        <w:ind w:left="283"/>
      </w:pPr>
      <w:r>
        <w:rPr>
          <w:rFonts w:ascii="Calibri" w:hAnsi="Calibri"/>
          <w:b/>
          <w:color w:val="4A6B25"/>
          <w:sz w:val="20"/>
        </w:rPr>
        <w:t xml:space="preserve">2. </w:t>
      </w:r>
      <w:r>
        <w:rPr>
          <w:rFonts w:ascii="Calibri" w:hAnsi="Calibri"/>
          <w:b w:val="0"/>
          <w:color w:val="3A4A28"/>
          <w:sz w:val="20"/>
        </w:rPr>
        <w:t>Short-seller accusations of 'China hustle' rebranding Chinese robots and misrepresented Walmart partnerships raise fundamental questions about business authenticity [5]</w:t>
      </w:r>
    </w:p>
    <w:p>
      <w:pPr>
        <w:spacing w:before="40" w:after="40"/>
        <w:ind w:left="283"/>
      </w:pPr>
      <w:r>
        <w:rPr>
          <w:rFonts w:ascii="Calibri" w:hAnsi="Calibri"/>
          <w:b/>
          <w:color w:val="4A6B25"/>
          <w:sz w:val="20"/>
        </w:rPr>
        <w:t xml:space="preserve">3. </w:t>
      </w:r>
      <w:r>
        <w:rPr>
          <w:rFonts w:ascii="Calibri" w:hAnsi="Calibri"/>
          <w:b w:val="0"/>
          <w:color w:val="3A4A28"/>
          <w:sz w:val="20"/>
        </w:rPr>
        <w:t>Pre-profit with only $4.9M TTM revenue, declining -8.8% YoY — cash runway uncertain without additional dilutive capital raises [1]</w:t>
      </w:r>
    </w:p>
    <w:p>
      <w:pPr>
        <w:spacing w:before="40" w:after="40"/>
        <w:ind w:left="283"/>
      </w:pPr>
      <w:r>
        <w:rPr>
          <w:rFonts w:ascii="Calibri" w:hAnsi="Calibri"/>
          <w:b/>
          <w:color w:val="4A6B25"/>
          <w:sz w:val="20"/>
        </w:rPr>
        <w:t xml:space="preserve">4. </w:t>
      </w:r>
      <w:r>
        <w:rPr>
          <w:rFonts w:ascii="Calibri" w:hAnsi="Calibri"/>
          <w:b w:val="0"/>
          <w:color w:val="3A4A28"/>
          <w:sz w:val="20"/>
        </w:rPr>
        <w:t>Competition from well-funded robotics players (Boston Dynamics, Tesla Optimus, Figure AI) could marginalize Richtech's offerings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Richtech operates in the physical robotics space — manufacturing, deploying, and servicing hardware robots that interact with the real world. AI cannot displace physical robot deployment, maintenance, and integration services, providing structural protection from pure-software disruption [2]. However, the company's software and AI capabilities are not deeply proprietary, and larger robotics competitors (Boston Dynamics, Tesla Optimus, Figure AI) could leverage superior AI and capital to outcompete. AI Opportunity (1/1): The company generates all its revenue from AI-powered robotic products — ADAM uses computer vision and AI for autonomous beverage preparation, and the Dex humanoid robot integrates agentic AI for industrial tasks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RR key statistics and financials, accessed May 2026</w:t>
      </w:r>
    </w:p>
    <w:p>
      <w:pPr>
        <w:spacing w:before="20" w:after="20"/>
        <w:ind w:left="170"/>
      </w:pPr>
      <w:r>
        <w:rPr>
          <w:rFonts w:ascii="Calibri" w:hAnsi="Calibri"/>
          <w:b/>
          <w:color w:val="4A6B25"/>
          <w:sz w:val="15"/>
        </w:rPr>
        <w:t xml:space="preserve">2. </w:t>
      </w:r>
      <w:r>
        <w:rPr>
          <w:rFonts w:ascii="Calibri" w:hAnsi="Calibri"/>
          <w:b w:val="0"/>
          <w:color w:val="3A4A28"/>
          <w:sz w:val="17"/>
        </w:rPr>
        <w:t>Richtech Robotics official website and investor relations,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Richtech Robotics employee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Berger Montague / Faruqi &amp; Faruqi Securities Fraud Class Action filings, January-March 2026</w:t>
      </w:r>
    </w:p>
    <w:p>
      <w:pPr>
        <w:spacing w:before="20" w:after="20"/>
        <w:ind w:left="170"/>
      </w:pPr>
      <w:r>
        <w:rPr>
          <w:rFonts w:ascii="Calibri" w:hAnsi="Calibri"/>
          <w:b/>
          <w:color w:val="4A6B25"/>
          <w:sz w:val="15"/>
        </w:rPr>
        <w:t xml:space="preserve">5. </w:t>
      </w:r>
      <w:r>
        <w:rPr>
          <w:rFonts w:ascii="Calibri" w:hAnsi="Calibri"/>
          <w:b w:val="0"/>
          <w:color w:val="3A4A28"/>
          <w:sz w:val="17"/>
        </w:rPr>
        <w:t>Capybara Research short-seller report on Richtech Robotics, October 2025</w:t>
      </w:r>
    </w:p>
    <w:p>
      <w:pPr>
        <w:spacing w:before="20" w:after="20"/>
        <w:ind w:left="170"/>
      </w:pPr>
      <w:r>
        <w:rPr>
          <w:rFonts w:ascii="Calibri" w:hAnsi="Calibri"/>
          <w:b/>
          <w:color w:val="4A6B25"/>
          <w:sz w:val="15"/>
        </w:rPr>
        <w:t xml:space="preserve">6. </w:t>
      </w:r>
      <w:r>
        <w:rPr>
          <w:rFonts w:ascii="Calibri" w:hAnsi="Calibri"/>
          <w:b w:val="0"/>
          <w:color w:val="3A4A28"/>
          <w:sz w:val="17"/>
        </w:rPr>
        <w:t>MarketBeat — RR earnings data and analyst estimates,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