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RSG</w:t>
      </w:r>
      <w:r>
        <w:rPr>
          <w:rFonts w:ascii="Calibri" w:hAnsi="Calibri"/>
          <w:b/>
          <w:color w:val="1A2010"/>
          <w:sz w:val="40"/>
        </w:rPr>
        <w:t xml:space="preserve">  Republic Services, Inc.</w:t>
      </w:r>
    </w:p>
    <w:p>
      <w:pPr>
        <w:spacing w:after="120"/>
      </w:pPr>
      <w:r>
        <w:rPr>
          <w:rFonts w:ascii="Calibri" w:hAnsi="Calibri"/>
          <w:b/>
          <w:color w:val="6E8450"/>
          <w:sz w:val="18"/>
        </w:rPr>
        <w:t>GROWTH SLEEVE · 2026-04-27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Republic Services is the second-largest environmental services company in the United States and Canada, providing collection, transfer, disposal, recycling, and environmental solutions to residential, commercial, and industrial customers. The company operates landfills, recycling centers, transfer stations, and polymer processing facilities across North America.</w:t>
      </w:r>
    </w:p>
    <w:p>
      <w:r>
        <w:rPr>
          <w:rFonts w:ascii="Calibri" w:hAnsi="Calibri"/>
          <w:b/>
          <w:color w:val="6E8450"/>
          <w:sz w:val="18"/>
        </w:rPr>
        <w:t>42,000 Employees · https://www.republicservices.com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revenue grew modestly, with Q4 showing 2.2% YoY growth; 2026 guidance of $17.05-17.15B represents continued mid-single-digit growth [1]. The company has delivered consistent but unspectacular organic growth driven by pricing power. AI Deployment (1/2): Republic Services has deployed AI across operations through its RISE platform and MPower fleet optimization, AI-driven recycling sorting, and NICE Enlighten customer service AI [2]. A GenAI Governance Council establishes ethical AI guidelines, showing structured adoption. Market Share (1/2): Republic is the second-largest U.S. waste management company behind Waste Management, with strong regional density but limited ability to gain share organically in a consolidated duopoly [1]. Pipeline (1/2): The Polymer Centers represent genuine innovation in plastics recycling, and strategic acquisitions continue to drive inorganic growth, though the core business model remains largely unchanged [1]. R&amp;D Intensity (1/1): Meaningful investment in sustainability technology, AI-driven route optimization, and advanced recycling capabilities differentiates RSG from pure legacy waste haulers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Republic Services' mission of creating a more sustainable world through responsible waste management and environmental services has genuine societal purpose, directly addressing climate and pollution challenges [2]. The Science Based Targets initiative approval for emissions reduction validates the mission's credibility. Community Impact (2/2): The company employs 42,000 people, serves millions of customers, and has set ambitious 2030 targets including 35% Scope 1/2 emissions reduction, 40% increase in materials recovery, and 50% increase in biogas beneficial reuse [3]. Employee Retention (1/2): Glassdoor rating of approximately 3.3/5 is average for the industry; CEO Jon Vander Ark emphasizes an inclusive, human-centered workforce culture, though reviews note leadership advancement is sometimes popularity-driven rather than merit-based [2]. Insider Buying (1/2): Management has aligned incentives through consistent dividend growth (22+ consecutive years of increases) and disciplined capital allocation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Republic Services has a solid financial profile befitting a defensive industrial. Revenue of ~$16.6B with 2.2% growth, adjusted EBITDA guidance of $5.475-5.525B for 2026, and adjusted free cash flow of $2.52-2.56B demonstrate steady cash generation [1]. P/E of 30.6x and forward P/E of 26.1x are premium but justified by the predictable, recession-resistant waste collection business with pricing power exceeding cost inflation. ROE of 18.3% and profit margin of 12.9% are healthy. D/E of 115% reflects the capital-intensive nature of landfill and fleet operations, with $13.8B debt supported by strong recurring cash flows. Gross margin of 43% and operating margin of 19.5% show operational efficiency. Liquidity floor cleared easily: 1.49M avg vol × $209.79 = $312.6M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Republic Services operates with a long-term orientation appropriate for a company managing 20-30 year landfill assets and setting 2030 sustainability targets. The commitment to Science Based Targets, Polymer Center innovation, and consistent capital returns reflects infinite game characteristics, though the duopoly comfort and modest organic growth limit the boldness of the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Creating a more sustainable world through responsible environmental services is a genuine, enduring just cause [3]. The company's Science Based Targets commitment (35% Scope 1/2 reduction), Polymer Centers for plastics circularity, and biogas beneficial reuse directly serve this cause with measurable goals. This mission will become more relevant as environmental regulations tighten.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Jon Vander Ark emphasizes inclusive, human-centered culture for 42,000 employees [2]. However, Glassdoor reviews (~3.3/5) reveal mixed sentiments — some praise strong core values while others cite popularity-driven promotions and limited career stability. For a company with a large blue-collar workforce, maintaining trust across frontline and corporate teams is an ongoing challenge.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Waste Management (WM) is the clear worthy rival, and Republic Services uses this rivalry productively — matching WM's sustainability commitments, competing on service quality, and investing in AI and technology to close the scale gap [1]. The duopoly dynamic forces both companies to innovate continuously on pricing, route efficiency, and recycling capabilities.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Republic Services has evolved from a pure waste hauler to an environmental solutions company, investing in advanced recycling (Polymer Centers), renewable energy (landfill gas-to-energy), and digital transformation [2]. The pivot toward circular economy capabilities shows willingness to transform the business model. However, the core collection business remains dominant and limits radical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Being the first U.S. environmental services company with SBTi-approved emissions targets demonstrates courage to lead on sustainability [3]. The investment in Polymer Centers for advanced plastics recycling is a bold bet on circular economy technology. However, the company generally follows industry trends rather than setting them, and the comfortable duopoly reduces the urgency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Republic Services is a high-quality defensive industrial with predictable cash flows, pricing power, and a physical moat from local route density in waste collection [1]. The company guided 2026 revenue of $17.05-17.15B with adjusted EBITDA of $5.475-5.525B and free cash flow of $2.52-2.56B, demonstrating the steady compounding characteristic of essential services businesses. At 26.1x forward P/E, RSG is priced as a premium compounder — justified by recession-resistant revenue, pricing exceeding cost inflation, and 22 consecutive years of dividend growth. AI adoption through RISE, MPower fleet optimization, and AI-driven recycling sorting enhances margins without disruption risk, as waste collection is inherently physical and cannot be digitized [2]. The Polymer Centers represent a genuine innovation in plastics recycling that could create new revenue streams as circular economy regulations tighten [3].</w:t>
      </w:r>
    </w:p>
    <w:p>
      <w:pPr>
        <w:spacing w:after="120"/>
      </w:pPr>
      <w:r>
        <w:rPr>
          <w:rFonts w:ascii="Calibri" w:hAnsi="Calibri"/>
          <w:b w:val="0"/>
          <w:color w:val="3A4A28"/>
          <w:sz w:val="20"/>
        </w:rPr>
        <w:t>The bear case centers on valuation and growth limitations. At 30.6x trailing P/E and 3.02 PEG ratio, RSG is priced for perfection in a business that grows revenue only 2-4% organically [1]. The 1.19% dividend yield is below the 2% threshold, making it less attractive as an income investment despite the long growth streak. D/E of 115% reflects heavy capital intensity, with $13.8B in debt required to maintain fleet, landfills, and processing facilities. Revenue growth of 2.2% YoY is essentially inflation-pass-through with volume declines of approximately 1%, meaning the business is not growing in real terms [1]. The waste management duopoly (RSG and WM) faces regulatory risk from environmental standards changes and potential disruption from new recycling technologies. The premium valuation leaves little margin of safety if economic conditions weaken and waste volumes decline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guidance of $5.475-5.525B for 2026 represents continued margin expansion from pricing exceeding cost inflation and AI-driven productivity gains [1]</w:t>
      </w:r>
    </w:p>
    <w:p>
      <w:pPr>
        <w:spacing w:before="40" w:after="40"/>
        <w:ind w:left="283"/>
      </w:pPr>
      <w:r>
        <w:rPr>
          <w:rFonts w:ascii="Calibri" w:hAnsi="Calibri"/>
          <w:b/>
          <w:color w:val="4A6B25"/>
          <w:sz w:val="20"/>
        </w:rPr>
        <w:t xml:space="preserve">2. </w:t>
      </w:r>
      <w:r>
        <w:rPr>
          <w:rFonts w:ascii="Calibri" w:hAnsi="Calibri"/>
          <w:b w:val="0"/>
          <w:color w:val="3A4A28"/>
          <w:sz w:val="20"/>
        </w:rPr>
        <w:t>Polymer Center expansion for advanced plastics recycling positions RSG for circular economy regulatory tailwinds and new revenue streams [2]</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acquisitions in environmental solutions and recycling continue to drive inorganic growth and route density improvements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(30.6x P/E, 3.02 PEG) leaves limited margin of safety for a business growing revenue only 2.2% organically with ~1% volume declines [1]</w:t>
      </w:r>
    </w:p>
    <w:p>
      <w:pPr>
        <w:spacing w:before="40" w:after="40"/>
        <w:ind w:left="283"/>
      </w:pPr>
      <w:r>
        <w:rPr>
          <w:rFonts w:ascii="Calibri" w:hAnsi="Calibri"/>
          <w:b/>
          <w:color w:val="4A6B25"/>
          <w:sz w:val="20"/>
        </w:rPr>
        <w:t xml:space="preserve">2. </w:t>
      </w:r>
      <w:r>
        <w:rPr>
          <w:rFonts w:ascii="Calibri" w:hAnsi="Calibri"/>
          <w:b w:val="0"/>
          <w:color w:val="3A4A28"/>
          <w:sz w:val="20"/>
        </w:rPr>
        <w:t>Capital-intensive operations require $13.8B in debt, and rising interest rates or economic downturn could pressure free cash flow conversion [4]</w:t>
      </w:r>
    </w:p>
    <w:p>
      <w:pPr>
        <w:spacing w:before="40" w:after="40"/>
        <w:ind w:left="283"/>
      </w:pPr>
      <w:r>
        <w:rPr>
          <w:rFonts w:ascii="Calibri" w:hAnsi="Calibri"/>
          <w:b/>
          <w:color w:val="4A6B25"/>
          <w:sz w:val="20"/>
        </w:rPr>
        <w:t xml:space="preserve">3. </w:t>
      </w:r>
      <w:r>
        <w:rPr>
          <w:rFonts w:ascii="Calibri" w:hAnsi="Calibri"/>
          <w:b w:val="0"/>
          <w:color w:val="3A4A28"/>
          <w:sz w:val="20"/>
        </w:rPr>
        <w:t>Regulatory changes to landfill emissions accounting standards or new environmental requirements could increase compliance costs and limit pricing flexibility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Waste collection and environmental services are inherently physical, labor-intensive businesses that AI cannot disintermediate — trucks must still pick up trash and landfills must still be operated [2]. AI is purely an enabler for Republic Services: route optimization (MPower) reduces fuel costs, AI-powered recycling sorting increases materials recovery rates, and NICE Enlighten AI improves customer service efficiency. The established GenAI Governance Council shows proactive risk management. The company's local route density creates a physical moat that no AI competitor can replicate digitally. AI Opportunity (1/1): AI-driven Polymer Centers for advanced plastics recycling and predictive maintenance for fleet and landfill operations represent meaningful margin expansion opportunities that leverage AI as a competitive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Republic Services Q4 2025 and Full Year 2025 Earnings Release — 2026 guidance of $17.05-17.15B revenue, $5.475-5.525B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Republic Services AI Strategy — RISE platform, MPower, Polymer Centers, GenAI Governance Council, Klover.ai and company disclosures</w:t>
      </w:r>
    </w:p>
    <w:p>
      <w:pPr>
        <w:spacing w:before="20" w:after="20"/>
        <w:ind w:left="170"/>
      </w:pPr>
      <w:r>
        <w:rPr>
          <w:rFonts w:ascii="Calibri" w:hAnsi="Calibri"/>
          <w:b/>
          <w:color w:val="4A6B25"/>
          <w:sz w:val="15"/>
        </w:rPr>
        <w:t xml:space="preserve">3. </w:t>
      </w:r>
      <w:r>
        <w:rPr>
          <w:rFonts w:ascii="Calibri" w:hAnsi="Calibri"/>
          <w:b w:val="0"/>
          <w:color w:val="3A4A28"/>
          <w:sz w:val="17"/>
        </w:rPr>
        <w:t>Republic Services 2024 Sustainability Report — SBTi-approved targets, Waste Dive ESG coverage,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RSG (Republic Services),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