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RSI</w:t>
      </w:r>
      <w:r>
        <w:rPr>
          <w:rFonts w:ascii="Calibri" w:hAnsi="Calibri"/>
          <w:b/>
          <w:color w:val="1A2010"/>
          <w:sz w:val="40"/>
        </w:rPr>
        <w:t xml:space="preserve">  Rush Street Interactive, Inc.</w:t>
      </w:r>
    </w:p>
    <w:p>
      <w:pPr>
        <w:spacing w:after="120"/>
      </w:pPr>
      <w:r>
        <w:rPr>
          <w:rFonts w:ascii="Calibri" w:hAnsi="Calibri"/>
          <w:b/>
          <w:color w:val="6E8450"/>
          <w:sz w:val="18"/>
        </w:rPr>
        <w:t>GROWTH SLEEVE · 2026-04-19 · Inspire: -1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Gambling · NYSE · United States</w:t>
      </w:r>
    </w:p>
    <w:p>
      <w:pPr>
        <w:spacing w:after="80"/>
      </w:pPr>
      <w:r>
        <w:rPr>
          <w:rFonts w:ascii="Calibri" w:hAnsi="Calibri"/>
          <w:b w:val="0"/>
          <w:color w:val="3A4A28"/>
          <w:sz w:val="20"/>
        </w:rPr>
        <w:t>Rush Street Interactive operates online casino and sports betting platforms under the BetRivers and PlaySugarHouse brands in the United States, Canada, and Latin America. The company is a casino-first operator, providing real-money online casinos, online and retail sports betting, and social gaming services.</w:t>
      </w:r>
    </w:p>
    <w:p>
      <w:r>
        <w:rPr>
          <w:rFonts w:ascii="Calibri" w:hAnsi="Calibri"/>
          <w:b/>
          <w:color w:val="6E8450"/>
          <w:sz w:val="18"/>
        </w:rPr>
        <w:t>912 Employees · https://www.rushstreetinteractive.com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RSI successfully scaled from a startup to over $1.13B in 2025 revenue (23% YoY growth), expanded from U.S. to Latin America (Colombia, Mexico), and built a proprietary technology stack rather than relying on third-party platforms — a differentiating strategic decision [1]. North America iCasino MAUs surged 51% YoY in Q4 2025 and LatAm MAUs grew 47%, demonstrating execution across geographies. AI Deployment (1/2): RSI partners with Kambi, whose network reported 48% of bets were 'traded by AI' in 2025, up from 28% in 2024 — AI-powered odds management directly improves RSI's pricing and risk management [2]. Internal AI deployment for personalization and responsible gambling detection is operational but not specifically quantified. Market Share (1/2): RSI is a meaningful but not dominant player in U.S. iGaming, competing against DraftKings, FanDuel, and BetMGM with significantly larger marketing budgets. RSI differentiates as a casino-first operator in a market skewed toward sports betting [1]. Pipeline (1/2): Geographic expansion into new U.S. states as online gambling legalizes and LatAm growth provide visible growth runway, though specific product launches with timelines were not detailed [1]. R&amp;D Intensity (1/1): RSI builds proprietary technology in-house rather than licensing, representing above-average tech investment for the gaming sector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RSI's purpose centers on providing 'trusted, exciting entertainment' through online gaming — clear but not distinctive, as every gambling operator claims to offer entertaining, trustworthy gaming experiences. The mission doesn't articulate a deeper vision beyond the obvious business objective [2]. Community Impact (1/2): RSI was the first U.S.-based online casino to receive RG Check iGaming Accreditation from the Responsible Gambling Council and adopted Neccton's award-winning player protection software — proactive steps beyond regulatory minimums [3]. The company named a Director of Corporate Social Responsibility and built the first LEED Gold certified casino globally. Employee Retention (2/2): Small team of 912 employees with a collaborative startup culture where 'every voice can be heard' and employees have 'real access to leadership, all the way to the CEO' [2]. The promotion of Kyle Sauers from CFO to President demonstrates strong internal talent development and a culture where leaders grow with the company. CEO Schwartz's 14-year tenure since co-founding suggests leadership stability. Insider Buying (0/2): Heavily negative — CEO Richard Schwartz sold 2,538,404 shares over the past year with zero insider purchases. The February 2026 sale of 247K shares ($44M) was his largest-ever open market sale, occurring before the Q4 earnings report [4]. This aggressive selling pattern significantly undermines conviction signals, though Schwartz retains meaningful ownership.</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RSI demonstrates exceptional growth metrics with a virtually debt-free balance sheet. Revenue of $1.13B in 2025 represents 23% YoY growth, with 2026 guidance of $1.375-1.425B implying 21-26% continued growth [1]. Five-year revenue CAGR of approximately 28.6% from ~$323M in 2020 significantly exceeds the 10% target. D/E of 2.0% is essentially debt-free, scoring a perfect 1.0. ROE of 29.5% far exceeds the 15% target. Forward P/E of 31.0x is elevated but justified by 25%+ revenue growth. The primary weakness is trailing profit margin of 2.9%, as the company only recently became profitable — net income of $33.3M in 2025 versus a loss of -$18.3M in 2023 [4]. Q4 2025 revenue of $324.9M (28% YoY) was a quarterly record [1]. Liquidity floor easily cleared at $47.7M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RSI shows some infinite-game characteristics — building proprietary technology, expanding patiently into LatAm, and investing in responsible gambling beyond regulatory minimums. However, the CEO's aggressive insider selling ($44M+ over the past year) and the inherently short-term dynamics of the online gambling industry create tension with infinite-game principles.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RSI's stated purpose of providing trusted entertainment through online gaming is functional but lacks depth — it describes the business rather than articulating a vision of a better future [2]. The gambling industry inherently faces tension with Just Cause framing, as the product generates revenue partly from behavioral psychology that can be harmful to vulnerable populations. RSI's early adoption of responsible gambling tools (RG Check accreditation, Neccton player protection) shows awareness of this tension but doesn't fully resolve it. Scores 1/3.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RSI's small team of 912 employees with stated values of 'every voice can be heard' and direct CEO accessibility suggests a high-trust startup culture [2]. The promotion of Kyle Sauers from CFO to President demonstrates internal talent development and trust in existing leadership. However, the company is still young (founded 2012, public since 2020) and hasn't been tested through significant organizational crisis. Scores 1/2.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RSI explicitly acknowledges DraftKings and FanDuel's dominance in sports betting and has strategically differentiated as a casino-first operator rather than trying to outspend larger rivals on sports marketing [1]. CEO Schwartz noted that RSI sees less competitive risk from prediction markets than sportsbook-heavy operators, demonstrating awareness of competitors' vulnerabilities and RSI's own strengths. The LatAm expansion into Colombia and Mexico represents learning from competitors' international playbooks. Scores 1/1.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RSI has evolved from a U.S.-focused sports betting startup to a multi-geography, casino-first operator with proprietary technology — a meaningful strategic evolution driven by recognition that the casino vertical offers better unit economics than the sports betting arms race [1]. The LatAm expansion represents geographic diversification. However, the company remains within online gambling and hasn't faced a transformative pivot test. Scores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RSI's decision to build proprietary technology rather than license third-party platforms was a costly long-term bet that is now paying off as a competitive differentiator [2]. Being the first U.S. operator to adopt Neccton's player protection software and achieving RG Check accreditation showed willingness to invest in responsible gambling beyond regulatory minimums [3]. However, CEO Schwartz's aggressive insider selling (2.5M+ shares, $44M+ in one year with zero purchases) undermines the courage-to-lead narrative — it signals personal risk reduction rather than conviction in the long-term story [4]. Scores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Rush Street Interactive is one of the fastest-growing online gambling operators with 2025 revenue of $1.13B (23% YoY) and 2026 guidance of $1.375-1.425B (21-26% growth), driven by explosive iCasino MAU growth (+51% in Q4) and LatAm expansion [1]. The casino-first strategy differentiates RSI from sports-betting-heavy peers (DraftKings, FanDuel) in a segment with better unit economics — online casino margins significantly exceed sports betting margins. RSI's proprietary technology platform, virtually debt-free balance sheet (D/E 2.0%), and ROE of 29.5% demonstrate quality execution at scale. Adjusted EBITDA of $153.7M in 2025 (66% YoY growth) shows the business model is reaching operating leverage, and at 31x forward P/E with 25%+ revenue growth, the valuation is reasonable for the growth trajectory [1].</w:t>
      </w:r>
    </w:p>
    <w:p>
      <w:pPr>
        <w:spacing w:after="120"/>
      </w:pPr>
      <w:r>
        <w:rPr>
          <w:rFonts w:ascii="Calibri" w:hAnsi="Calibri"/>
          <w:b w:val="0"/>
          <w:color w:val="3A4A28"/>
          <w:sz w:val="20"/>
        </w:rPr>
        <w:t>The bear case centers on regulatory risk, insider selling, and margin vulnerability. CEO Schwartz's sale of 2.5M+ shares ($44M+) over the past year with zero insider purchases is among the most aggressive CEO selling patterns in the mid-cap growth space, raising questions about his conviction in the stock at current valuations [4]. Colombia's 19% revenue tax decree — currently under court review — could create a ~$25-30M EBITDA headwind and demonstrates the regulatory fragility of LatAm markets [1]. Trailing profit margin of only 2.9% on $1.13B revenue means the company has minimal margin of safety — increased marketing spend or adverse regulatory changes could easily push the company back to losses. The online gambling industry faces potential regulatory backlash as AI-driven personalization raises responsible gambling concerns, and any state-level or federal regulatory action could constrain the addressable market. At $5.3B market cap and 73.8x trailing P/E, the stock is priced for sustained hypergrowth with no room for execution stumbles.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U.S. iGaming legalization expansion — each new state represents a greenfield growth opportunity, with RSI's proprietary tech enabling rapid market entry at lower cost than competitors relying on third-party platforms [1]</w:t>
      </w:r>
    </w:p>
    <w:p>
      <w:pPr>
        <w:spacing w:before="40" w:after="40"/>
        <w:ind w:left="283"/>
      </w:pPr>
      <w:r>
        <w:rPr>
          <w:rFonts w:ascii="Calibri" w:hAnsi="Calibri"/>
          <w:b/>
          <w:color w:val="4A6B25"/>
          <w:sz w:val="20"/>
        </w:rPr>
        <w:t xml:space="preserve">2. </w:t>
      </w:r>
      <w:r>
        <w:rPr>
          <w:rFonts w:ascii="Calibri" w:hAnsi="Calibri"/>
          <w:b w:val="0"/>
          <w:color w:val="3A4A28"/>
          <w:sz w:val="20"/>
        </w:rPr>
        <w:t>Casino-first strategy inflection — iCasino MAU growth of 51% in Q4 2025 suggests RSI is capturing the structurally higher-margin online casino market as consumer adoption accelerates beyond sports betting [1]</w:t>
      </w:r>
    </w:p>
    <w:p>
      <w:pPr>
        <w:spacing w:before="40" w:after="40"/>
        <w:ind w:left="283"/>
      </w:pPr>
      <w:r>
        <w:rPr>
          <w:rFonts w:ascii="Calibri" w:hAnsi="Calibri"/>
          <w:b/>
          <w:color w:val="4A6B25"/>
          <w:sz w:val="20"/>
        </w:rPr>
        <w:t xml:space="preserve">3. </w:t>
      </w:r>
      <w:r>
        <w:rPr>
          <w:rFonts w:ascii="Calibri" w:hAnsi="Calibri"/>
          <w:b w:val="0"/>
          <w:color w:val="3A4A28"/>
          <w:sz w:val="20"/>
        </w:rPr>
        <w:t>LatAm market maturation — Colombia and Mexico operations are scaling with 47% MAU growth, and as these markets mature, LatAm could become a meaningful profit contributor rather than an investment drag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CEO insider selling pattern — Richard Schwartz sold 2.5M+ shares worth $44M+ in the past year with zero purchases, one of the most aggressive selling patterns among mid-cap growth CEOs, creating investor confidence risk [4]</w:t>
      </w:r>
    </w:p>
    <w:p>
      <w:pPr>
        <w:spacing w:before="40" w:after="40"/>
        <w:ind w:left="283"/>
      </w:pPr>
      <w:r>
        <w:rPr>
          <w:rFonts w:ascii="Calibri" w:hAnsi="Calibri"/>
          <w:b/>
          <w:color w:val="4A6B25"/>
          <w:sz w:val="20"/>
        </w:rPr>
        <w:t xml:space="preserve">2. </w:t>
      </w:r>
      <w:r>
        <w:rPr>
          <w:rFonts w:ascii="Calibri" w:hAnsi="Calibri"/>
          <w:b w:val="0"/>
          <w:color w:val="3A4A28"/>
          <w:sz w:val="20"/>
        </w:rPr>
        <w:t>Colombia regulatory overhang — the 19% revenue tax decree under court review could reduce EBITDA by $25-30M and introduces unpredictable sovereign risk for LatAm growth strategy [1]</w:t>
      </w:r>
    </w:p>
    <w:p>
      <w:pPr>
        <w:spacing w:before="40" w:after="40"/>
        <w:ind w:left="283"/>
      </w:pPr>
      <w:r>
        <w:rPr>
          <w:rFonts w:ascii="Calibri" w:hAnsi="Calibri"/>
          <w:b/>
          <w:color w:val="4A6B25"/>
          <w:sz w:val="20"/>
        </w:rPr>
        <w:t xml:space="preserve">3. </w:t>
      </w:r>
      <w:r>
        <w:rPr>
          <w:rFonts w:ascii="Calibri" w:hAnsi="Calibri"/>
          <w:b w:val="0"/>
          <w:color w:val="3A4A28"/>
          <w:sz w:val="20"/>
        </w:rPr>
        <w:t>Margin fragility — trailing profit margin of 2.9% on $1.13B revenue means any increase in marketing spend, customer acquisition costs, or tax/regulatory burden could push the company back to unprofitability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Online gambling operates within a heavily regulated framework requiring state-by-state licensing, KYC compliance, and responsible gambling mandates — regulatory barriers that AI cannot bypass [3]. RSI's proprietary technology platform and licensed market access create moats that pure AI tools cannot replicate. However, AI creates meaningful competitive pressure: AI-powered odds management is becoming table stakes (Kambi reports 48% of bets now AI-traded), meaning AI advantages are rapidly commoditizing among operators [2]. AI also enables new entrants to build competitive platforms more quickly, potentially eroding first-mover advantages. AI-driven personalization could increase responsible gambling risks, inviting regulatory scrutiny. CEO Schwartz's casino-first positioning provides some insulation, as online casino gameplay (slots, table games) is less susceptible to AI-driven margin compression than sports betting. AI Opportunity (0/1): RSI does not generate standalone revenue from AI products. AI is embedded in operations (odds management via Kambi, player risk management) but is not a distinct revenue driver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-1</w:t>
      </w:r>
      <w:r>
        <w:rPr>
          <w:rFonts w:ascii="Calibri" w:hAnsi="Calibri"/>
          <w:b/>
          <w:color w:val="B8860B"/>
          <w:sz w:val="20"/>
        </w:rPr>
        <w:t xml:space="preserve">    MIXED</w:t>
      </w:r>
    </w:p>
    <w:p>
      <w:pPr>
        <w:spacing w:before="80" w:after="40"/>
      </w:pPr>
      <w:r>
        <w:rPr>
          <w:rFonts w:ascii="Calibri" w:hAnsi="Calibri"/>
          <w:b/>
          <w:color w:val="6E8450"/>
          <w:sz w:val="18"/>
        </w:rPr>
        <w:t xml:space="preserve">Negative: </w:t>
      </w:r>
      <w:r>
        <w:rPr>
          <w:rFonts w:ascii="Calibri" w:hAnsi="Calibri"/>
          <w:b/>
          <w:color w:val="DC2626"/>
          <w:sz w:val="17"/>
        </w:rPr>
        <w:t xml:space="preserve"> Gambling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Rush Street Interactive Q4 2025 Earnings and Full-Year 2025 Results — $1.13B revenue, $153.7M Adj. EBITDA, 2026 guidance $1.375-1.425B, February 2026</w:t>
      </w:r>
    </w:p>
    <w:p>
      <w:pPr>
        <w:spacing w:before="20" w:after="20"/>
        <w:ind w:left="170"/>
      </w:pPr>
      <w:r>
        <w:rPr>
          <w:rFonts w:ascii="Calibri" w:hAnsi="Calibri"/>
          <w:b/>
          <w:color w:val="4A6B25"/>
          <w:sz w:val="15"/>
        </w:rPr>
        <w:t xml:space="preserve">2. </w:t>
      </w:r>
      <w:r>
        <w:rPr>
          <w:rFonts w:ascii="Calibri" w:hAnsi="Calibri"/>
          <w:b w:val="0"/>
          <w:color w:val="3A4A28"/>
          <w:sz w:val="17"/>
        </w:rPr>
        <w:t>Rush Street Interactive Corporate Website — Leadership team, CEO Schwartz bio, proprietary technology, AI in gambling industry reports, 2026</w:t>
      </w:r>
    </w:p>
    <w:p>
      <w:pPr>
        <w:spacing w:before="20" w:after="20"/>
        <w:ind w:left="170"/>
      </w:pPr>
      <w:r>
        <w:rPr>
          <w:rFonts w:ascii="Calibri" w:hAnsi="Calibri"/>
          <w:b/>
          <w:color w:val="4A6B25"/>
          <w:sz w:val="15"/>
        </w:rPr>
        <w:t xml:space="preserve">3. </w:t>
      </w:r>
      <w:r>
        <w:rPr>
          <w:rFonts w:ascii="Calibri" w:hAnsi="Calibri"/>
          <w:b w:val="0"/>
          <w:color w:val="3A4A28"/>
          <w:sz w:val="17"/>
        </w:rPr>
        <w:t>American Gaming Association, Rush Street Interactive — Responsible gambling programs, RG Check accreditation, Neccton player protection, LEED Gold casino, ESG reports</w:t>
      </w:r>
    </w:p>
    <w:p>
      <w:pPr>
        <w:spacing w:before="20" w:after="20"/>
        <w:ind w:left="170"/>
      </w:pPr>
      <w:r>
        <w:rPr>
          <w:rFonts w:ascii="Calibri" w:hAnsi="Calibri"/>
          <w:b/>
          <w:color w:val="4A6B25"/>
          <w:sz w:val="15"/>
        </w:rPr>
        <w:t xml:space="preserve">4. </w:t>
      </w:r>
      <w:r>
        <w:rPr>
          <w:rFonts w:ascii="Calibri" w:hAnsi="Calibri"/>
          <w:b w:val="0"/>
          <w:color w:val="3A4A28"/>
          <w:sz w:val="17"/>
        </w:rPr>
        <w:t>Guru Focus, Simply Wall St, Investing.com — RSI insider trading activity, CEO Schwartz share sales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