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RUBI</w:t>
      </w:r>
      <w:r>
        <w:rPr>
          <w:rFonts w:ascii="Calibri" w:hAnsi="Calibri"/>
          <w:b/>
          <w:color w:val="1A2010"/>
          <w:sz w:val="40"/>
        </w:rPr>
        <w:t xml:space="preserve">  Rubico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Marine Shipping · NCM · Marshall Islands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Rubico Inc. is a micro-cap marine shipping company registered in the Marshall Islands.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Revenue declined 5.1% YoY. AI Deployment (0/2): None. Market Share (0/2): Negligible. Pipeline (0/2): None. R&amp;D Intensity (1/1): Some vessel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(0/4): No mission found. Community (0/2): 0 employees. Retention (0/2): None. Insider (1/2): Some activity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3,410,198 × $0.46 = $1.57M barely above. D/E 179.7%, ROE 6.6%, profit margin 11.2% modest for shipping [1]. Revenue declining.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Micro-cap shipping shell.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(0→1)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Micro-cap Marshall Islands shipping company with penny stock pricing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Uninvestable for IOWN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Shipping rate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Fleet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Industry consolidation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Penny stock with minimal liquidity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High leverage 179.7% D/E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decline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Marine shipping is physical-world transportation immune to AI displacement [1]. AI Opportunity (0/1): None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RUBI (Rubico),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