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RUN</w:t>
      </w:r>
      <w:r>
        <w:rPr>
          <w:rFonts w:ascii="Calibri" w:hAnsi="Calibri"/>
          <w:b/>
          <w:color w:val="1A2010"/>
          <w:sz w:val="40"/>
        </w:rPr>
        <w:t xml:space="preserve">  Sunrun Inc.</w:t>
      </w:r>
    </w:p>
    <w:p>
      <w:pPr>
        <w:spacing w:after="120"/>
      </w:pPr>
      <w:r>
        <w:rPr>
          <w:rFonts w:ascii="Calibri" w:hAnsi="Calibri"/>
          <w:b/>
          <w:color w:val="6E8450"/>
          <w:sz w:val="18"/>
        </w:rPr>
        <w:t>GROWTH SLEEVE · 2026-03-27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Sunrun Inc. designs, develops, installs, sells, owns, and maintains residential solar energy systems in the United States. The company offers solar panels, battery storage systems, and energy services to homeowners, operating the largest fleet of residential solar and storage assets in the country.</w:t>
      </w:r>
    </w:p>
    <w:p>
      <w:r>
        <w:rPr>
          <w:rFonts w:ascii="Calibri" w:hAnsi="Calibri"/>
          <w:b/>
          <w:color w:val="6E8450"/>
          <w:sz w:val="18"/>
        </w:rPr>
        <w:t>9,059 Employees · https://www.sunrun.com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Sunrun's pivot to a 'storage-first' strategy drove storage attachment rates to a record 71% in 2025, fundamentally transforming the business from pure solar installation to an integrated energy services platform [1]. AI Deployment (1/2): The company uses software-driven optimization for its 4+ GWh dispatchable energy fleet and grid services, though no specific AI revenue or cost-savings figures are disclosed [2]. Market Share Leadership (2/2): Sunrun operates the largest residential solar and storage fleet in the U.S. with over 1 million customers, maintaining clear category leadership [1]. Product Pipeline (1/2): Storage-first roadmap and virtual power plant capabilities are well-defined, but specific next-gen product timelines beyond 2026 guidance are limited [1]. R&amp;D Intensity (1/1): R&amp;D spending is above industry average for residential solar peers, with continuous innovation in storage integration and grid services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Sunrun's mission to 'create a planet run by the sun' is specific, aspirational, and directly tied to its business model of democratizing clean energy access for homeowners [2]. Community Impact (1/2): The company actively promotes energy equity and resilience programs, though quantified community investment figures are not prominently disclosed [3]. Employee Retention (1/2): With 9,059 employees and a restructuring that cut affiliate channel volumes by 40%, workforce transitions create cultural headwinds despite management's focus on direct-channel quality [1]. Insider Buying (1/2): Mixed insider activity with no prominent net buying signals from executives in recent quarters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Sunrun's balance sheet carries extreme leverage with D/E of 297.9%, far above the 300% floor, reflecting the capital-intensive nature of solar leasing [1]. ROE is negative at -22.1%, and forward P/E of 27.6 is elevated for a company with such leverage [1]. Revenue surged 45% YoY to $2.96B in 2025, a bright spot, but the PEG ratio is unavailable and profit margin of 15.2% is moderate. The stock passes the liquidity floor test with daily dollar volume of ~$119M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Sunrun demonstrates a genuine long-term vision of transforming the energy grid through distributed solar and storage, but short-term pressures including debt management and affiliate channel cuts reveal finite-game tensions between growth ambitions and financial sustainability.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Sunrun's mission to democratize clean energy and build a planet run by the sun is a compelling just cause that transcends quarterly results and speaks to a generational energy transition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40%+ cut in affiliate channel volumes and workforce restructuring signals prioritization of margins over partner relationships, though direct-channel investment shows commitment to quality teams [1].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Sunrun competes effectively against Tesla Energy, Sunnova, and regional installers, using its scale and storage-first strategy as differentiation rather than purely competing on price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pivot from pure solar installation to an energy services and virtual power plant model demonstrates meaningful existential flexibility and willingness to evolve the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showed courage in cutting unprofitable affiliate volumes despite near-term volume declines, but the company's heavy debt load constrains bold long-term capital allocation decisions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Sunrun is the undisputed leader in U.S. residential solar and storage with over 1 million customers and a record 71% storage attachment rate, positioning it at the center of the distributed energy transition [1]. The company's 2025 results were transformative — revenue surged 45% to $2.96B, cash generation hit $377M, and the shift to higher-margin direct business targets high single- to low double-digit growth in 2026 with $250-450M in cash generation [1]. Analyst price targets of $22-25 imply 70-100% upside from current levels, reflecting confidence in the storage-first strategy and virtual power plant monetization.</w:t>
      </w:r>
    </w:p>
    <w:p>
      <w:pPr>
        <w:spacing w:after="120"/>
      </w:pPr>
      <w:r>
        <w:rPr>
          <w:rFonts w:ascii="Calibri" w:hAnsi="Calibri"/>
          <w:b w:val="0"/>
          <w:color w:val="3A4A28"/>
          <w:sz w:val="20"/>
        </w:rPr>
        <w:t>The bear case centers on Sunrun's extreme leverage — D/E of 298% makes the company acutely vulnerable to rising interest rates and potential policy changes affecting the Investment Tax Credit [1]. The stock has fallen 45% from its 52-week high of $22.44, reflecting market skepticism about the sustainability of earnings under the current capital structure. Negative ROE of -22% on a GAAP basis (despite positive net income in 2025) and the deliberate volume decline from affiliate channel cuts create near-term headwinds that could persist if the direct-channel growth story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cash generation guidance of $250-450M would validate the storage-first margin improvement thesis and deleveraging potential [1]</w:t>
      </w:r>
    </w:p>
    <w:p>
      <w:pPr>
        <w:spacing w:before="40" w:after="40"/>
        <w:ind w:left="283"/>
      </w:pPr>
      <w:r>
        <w:rPr>
          <w:rFonts w:ascii="Calibri" w:hAnsi="Calibri"/>
          <w:b/>
          <w:color w:val="4A6B25"/>
          <w:sz w:val="20"/>
        </w:rPr>
        <w:t xml:space="preserve">2. </w:t>
      </w:r>
      <w:r>
        <w:rPr>
          <w:rFonts w:ascii="Calibri" w:hAnsi="Calibri"/>
          <w:b w:val="0"/>
          <w:color w:val="3A4A28"/>
          <w:sz w:val="20"/>
        </w:rPr>
        <w:t>Virtual power plant grid services revenue ramp as Sunrun monetizes its 4+ GWh dispatchable energy fleet through utility partnerships [1]</w:t>
      </w:r>
    </w:p>
    <w:p>
      <w:pPr>
        <w:spacing w:before="40" w:after="40"/>
        <w:ind w:left="283"/>
      </w:pPr>
      <w:r>
        <w:rPr>
          <w:rFonts w:ascii="Calibri" w:hAnsi="Calibri"/>
          <w:b/>
          <w:color w:val="4A6B25"/>
          <w:sz w:val="20"/>
        </w:rPr>
        <w:t xml:space="preserve">3. </w:t>
      </w:r>
      <w:r>
        <w:rPr>
          <w:rFonts w:ascii="Calibri" w:hAnsi="Calibri"/>
          <w:b w:val="0"/>
          <w:color w:val="3A4A28"/>
          <w:sz w:val="20"/>
        </w:rPr>
        <w:t>Potential IRA extension or expansion under current administration would provide multi-year policy tailwind for residential solar and storage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298% creates existential refinancing risk if interest rates remain elevated or credit markets tighten for solar ABS issuance [1]</w:t>
      </w:r>
    </w:p>
    <w:p>
      <w:pPr>
        <w:spacing w:before="40" w:after="40"/>
        <w:ind w:left="283"/>
      </w:pPr>
      <w:r>
        <w:rPr>
          <w:rFonts w:ascii="Calibri" w:hAnsi="Calibri"/>
          <w:b/>
          <w:color w:val="4A6B25"/>
          <w:sz w:val="20"/>
        </w:rPr>
        <w:t xml:space="preserve">2. </w:t>
      </w:r>
      <w:r>
        <w:rPr>
          <w:rFonts w:ascii="Calibri" w:hAnsi="Calibri"/>
          <w:b w:val="0"/>
          <w:color w:val="3A4A28"/>
          <w:sz w:val="20"/>
        </w:rPr>
        <w:t>Policy risk from potential ITC phase-down or modification could undermine customer economics and installation demand [3]</w:t>
      </w:r>
    </w:p>
    <w:p>
      <w:pPr>
        <w:spacing w:before="40" w:after="40"/>
        <w:ind w:left="283"/>
      </w:pPr>
      <w:r>
        <w:rPr>
          <w:rFonts w:ascii="Calibri" w:hAnsi="Calibri"/>
          <w:b/>
          <w:color w:val="4A6B25"/>
          <w:sz w:val="20"/>
        </w:rPr>
        <w:t xml:space="preserve">3. </w:t>
      </w:r>
      <w:r>
        <w:rPr>
          <w:rFonts w:ascii="Calibri" w:hAnsi="Calibri"/>
          <w:b w:val="0"/>
          <w:color w:val="3A4A28"/>
          <w:sz w:val="20"/>
        </w:rPr>
        <w:t>Direct-channel growth may not fully offset the 40%+ affiliate volume cuts, leading to market share loss to Tesla Energy and regional installers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Sunrun's core business of physical solar panel installation and maintenance has natural AI protection — rooftop installation requires skilled labor and site-specific work that AI cannot replace [2]. However, customer acquisition, design optimization, and grid management are all areas where AI-native competitors could gain an edge. AI Opportunity (1/1): Sunrun leverages software and data analytics to optimize its 4+ GWh dispatchable fleet for grid services and virtual power plant operations, creating AI-enabled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Sunrun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Sunrun Investor Relations and Company Website,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PV Magazine — Sunrun 2025 Earnings Report Analysis,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RUN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