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RVMD</w:t>
      </w:r>
      <w:r>
        <w:rPr>
          <w:rFonts w:ascii="Calibri" w:hAnsi="Calibri"/>
          <w:b/>
          <w:color w:val="1A2010"/>
          <w:sz w:val="40"/>
        </w:rPr>
        <w:t xml:space="preserve">  Revolution Medicines, Inc.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2026-04-08 · Inspire: 27 · MIXED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E3F2FD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563EB"/>
                <w:sz w:val="20"/>
              </w:rPr>
              <w:t>WATCH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53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Healthcare · Biotechnology · NMS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Revolution Medicines is a clinical-stage precision oncology company developing targeted therapies for RAS-addicted cancers, the most common oncogenic driver mutations.</w:t>
      </w:r>
    </w:p>
    <w:p>
      <w:r>
        <w:rPr>
          <w:rFonts w:ascii="Calibri" w:hAnsi="Calibri"/>
          <w:b/>
          <w:color w:val="6E8450"/>
          <w:sz w:val="18"/>
        </w:rPr>
        <w:t>883 Employees · https://www.revmed.com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STRONG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(2/3): Pioneering RAS(ON) inhibitors for the largest oncogenic driver mutation family — a historically 'undruggable' target now showing clinical promise [1]. AI Deployment (0/2): No AI products. Market Share (2/2): Category creator in multi-target RAS inhibitors, defining a new therapeutic approach [1]. Pipeline (2/2): Multiple clinical candidates targeting KRAS, NRAS, and HRAS mutations with specific timelines. R&amp;D Intensity (1/1): Massive R&amp;D investment relative to size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756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756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(3/4): Specific mission to defeat RAS-driven cancers. Community (0/2): Pre-revenue. Retention (1/2): 883 employees, stable scientific team. Insider (1/2): Some insider activity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1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961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RVMD has typical clinical-stage biotech financials. D/E of 26.2% is modest but ROE of -58.1% and profit margin 0% (negative) show cash burn [1]. No forward revenue. Market cap of $19.1B on zero revenue reflects pipeline optionality. Liquidity cleared at $297.5M daily [1].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B8860B"/>
          <w:sz w:val="22"/>
        </w:rPr>
        <w:t>MIXED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Revolution Medicines pursues a genuine infinite-game mission to defeat RAS-driven cancers — the most common oncogenic mutations with decades of failed attempts.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Genuine cause (2 pts → 7/10): Defeating RAS-driven cancers after decades of 'undruggable' status is a compelling scientific mission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Adequate (1 pt → 6/10): 883 employees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10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2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0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Infinite (1 pt → 10/10): Acknowledges Mirati, Amgen as driving RAS innovation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Rigid (0 pts → 2/10): Focused on RAS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Some (1 pt → 6/10): Years of R&amp;D investment in 'undruggable' target [1].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RVMD is pioneering RAS(ON) inhibitors targeting the most common oncogenic mutations, with $19.1B market cap reflecting significant pipeline value [1].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Zero revenue, negative ROE of -58.1%, and binary clinical trial outcomes create extreme investment risk despite the compelling science [1].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Clinical data readouts for RAS inhibitor candidates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Potential breakthrough therapy designations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Partnership/licensing deals [1]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Clinical trial failure across pipeline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Zero revenue with high cash burn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$19.1B market cap on pre-revenue biotech creates enormous downside [1]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MODERATE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(6/9): Oncology drug development involves complex biology and clinical trials that AI cannot substitute. However, AI is accelerating competitive drug discovery [1]. AI Opportunity (1/1): AI tools used in target identification and clinical trial design [1].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27</w:t>
      </w:r>
      <w:r>
        <w:rPr>
          <w:rFonts w:ascii="Calibri" w:hAnsi="Calibri"/>
          <w:b/>
          <w:color w:val="B8860B"/>
          <w:sz w:val="20"/>
        </w:rPr>
        <w:t xml:space="preserve">    ALIGNED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Positive: </w:t>
      </w:r>
      <w:r>
        <w:rPr>
          <w:rFonts w:ascii="Calibri" w:hAnsi="Calibri"/>
          <w:b/>
          <w:color w:val="16A34A"/>
          <w:sz w:val="17"/>
        </w:rPr>
        <w:t xml:space="preserve"> Customer Welfare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Hiring Ethics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Low Ecological Impact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Materials Efficiency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Access and Affordability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Safety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Regulatory Adherence 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Yahoo Finance / yfinance data for RVMD (Revolution Medicines), retrieved April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