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RWT</w:t>
      </w:r>
      <w:r>
        <w:rPr>
          <w:rFonts w:ascii="Calibri" w:hAnsi="Calibri"/>
          <w:b/>
          <w:color w:val="1A2010"/>
          <w:sz w:val="40"/>
        </w:rPr>
        <w:t xml:space="preserve">  Redwood Trust, Inc.</w:t>
      </w:r>
    </w:p>
    <w:p>
      <w:pPr>
        <w:spacing w:after="120"/>
      </w:pPr>
      <w:r>
        <w:rPr>
          <w:rFonts w:ascii="Calibri" w:hAnsi="Calibri"/>
          <w:b/>
          <w:color w:val="6E8450"/>
          <w:sz w:val="18"/>
        </w:rPr>
        <w:t>DIVIDEND SLEEVE · 2026-04-23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Redwood Trust is an internally managed specialty finance company and mortgage REIT focused on housing credit. It operates through Sequoia Mortgage Banking (residential consumer loans), CoreVest Mortgage Banking (residential investor loans), and Redwood Investments (retained securitization interests). Founded in 1994 and headquartered in Mill Valley, California.</w:t>
      </w:r>
    </w:p>
    <w:p>
      <w:r>
        <w:rPr>
          <w:rFonts w:ascii="Calibri" w:hAnsi="Calibri"/>
          <w:b/>
          <w:color w:val="6E8450"/>
          <w:sz w:val="18"/>
        </w:rPr>
        <w:t>351 Employees · https://www.redwoodtrust.com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Redwood Trust achieved record mortgage banking volumes of $23B in full-year 2025, with Sequoia locking $5.3B in Q4 alone and January 2026 volumes hitting $3.6B [1]. Q4 2025 EPS of $0.33 beat estimates by $0.11, and revenue of $87.3M crushed the $24.9M consensus, demonstrating operating momentum in the non-agency mortgage market [1]. AI Deployment (1/2): The company hired Abhinav Asthana as CTO in November 2024 with an explicit mandate to expand AI capabilities and digital transformation across underwriting and product offerings — a concrete investment in AI but no shipped AI products or quantified savings yet [2]. Market Share (1/2): Redwood is a leading non-agency mortgage REIT with established Sequoia and CoreVest platforms serving underserved segments of the residential market, but faces competition from larger specialty finance players [2]. Pipeline (1/2): Management expects 2026 consolidated earnings to exceed the common dividend, signaling profitability inflection, and the strategic repositioning away from legacy assets toward internally originated investments shows forward thinking [1]. R&amp;D Intensity (0/1): Minimal R&amp;D spend; technology investment is emerging under the new CTO but not yet at industry-leading levels for a financial services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Redwood's stated goal of becoming 'the nation's most innovative participant in housing credit' is clear and differentiates from generic financial services language, connecting the business to housing accessibility in underserved market segments [2]. However, it is not transformative or deeply aspirational enough to shape decades of strategic decisions. Community Impact (1/2): The company publishes ESG reports aligned with SASB standards, highlights community engagement, and promotes environmental responsibility, though specific programs and dollar amounts are not prominent [3]. Employee Retention (1/2): 351 employees in a 'non-hierarchical, hard-working and fun environment' with values emphasizing passion, integrity, and relationships suggests decent retention for a specialty REIT, though no specific retention metrics are available [2]. Insider Buying (0/2): No evidence of meaningful net insider buying by CEO Abate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Redwood's financial profile reflects the structural leverage and cyclicality of mortgage REITs. D/E of 2,269% is the norm for leveraged mortgage banking (funded by securitizations and warehouse lines), not a sign of distress in isolation [4]. However, trailing ROE of -6.4% and profit margin of -39.5% reflect GAAP losses from mark-to-market adjustments on the investment portfolio — distributable earnings are positive at $0.33/share in Q4 [1]. Forward P/E of 5.8x suggests the market prices significant risk, and the stock trades at 0.79x book value ($7.36 book vs $5.84 price), indicating persistent discount to asset value. Revenue growth of 93.1% YoY reflects mortgage banking volume recovery. The payout ratio of 329% on GAAP earnings is misleading — management expects 2026 distributable earnings to cover the $0.72 annual dividend. Dividend per share has been roughly flat over 5 years ($0.73 to $0.72), with 30 consecutive years paid but no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Redwood Trust shows elements of long-term thinking through its strategic repositioning from legacy assets toward internally originated investments, but the company remains fundamentally a mortgage cycle play that optimizes for near-term distributable earnings. The volatile dividend history and GAAP losses suggest finite game dynamics driven by market conditions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Redwood's aspiration to be 'the most innovative participant in housing credit' connects its work to underserved housing markets, but this is more of a competitive positioning statement than a Just Cause [2]. The company provides liquidity to non-agency mortgage segments that government programs don't serve — a valuable function but not a vision of a better future that inspires sacrifice. Sinek would note that this purpose has not survived multiple housing cycles with consistent execution; the company's dividend was cut significantly in 2020.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Redwood's described culture — 'non-hierarchical, hard-working and fun' with values of passion, integrity, and relationships — and 351 stable employees suggests adequate organizational trust [2]. The hiring of a dedicated CTO for AI transformation and new hires to drive technology advancement shows investment in people. However, no specific retention metrics or exceptional trust indicators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Redwood Trust acknowledges worthy rivals or uses competitive dynamics for self-improvement. CEO Abate's commentary about the market being 'poised for disruption' frames competition as an opportunity to capture share rather than to learn from rivals' strengths [2]. The competitive landscape includes Annaly, AGNC, and Two Harbors, but Redwood's communications focus on its own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 is actively executing a meaningful strategic shift — repositioning away from legacy third-party securities toward internally originated investments through its Sequoia and CoreVest platforms [1]. The Legacy Investments segment is being actively wound down, with assets 'in the active process of sale, runoff, or other disposition.' This represents genuine strategic evolution, though it is incremental transformation within the same industry rather than a company-redefining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accelerate the exit from legacy assets and reinvest in internally originated platforms required absorbing near-term GAAP losses while building long-term operating capability [1]. Hiring a dedicated CTO for AI transformation signals willingness to invest in future capability. However, the company's dividend has been volatile ($0.92 in 2022, $0.67 in 2024) rather than principled, suggesting reactive management rather than courageous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Redwood Trust is a specialty mortgage REIT at an inflection point — record $23B mortgage banking volumes in 2025 with Q4 EPS of $0.33 (beating estimates by $0.11) demonstrate that the operating platform is gaining scale in the growing non-agency residential market [1]. The stock trades at a 21% discount to book value ($5.84 vs $7.36 book), offering potential NAV convergence upside. Forward P/E of 5.8x prices in significant risk while management expects 2026 distributable earnings to exceed the $0.72 annual dividend, implying a covered 12.3% yield [1]. The strategic shift toward internally originated investments (Sequoia and CoreVest) reduces reliance on volatile third-party securities, and the new CTO appointment signals commitment to AI-driven underwriting and digital transformation [2]. January 2026 lock volumes of $3.6B suggest momentum is carrying into the new year.</w:t>
      </w:r>
    </w:p>
    <w:p>
      <w:pPr>
        <w:spacing w:after="120"/>
      </w:pPr>
      <w:r>
        <w:rPr>
          <w:rFonts w:ascii="Calibri" w:hAnsi="Calibri"/>
          <w:b w:val="0"/>
          <w:color w:val="3A4A28"/>
          <w:sz w:val="20"/>
        </w:rPr>
        <w:t>The bear case centers on structural REIT leverage and interest rate sensitivity. D/E of 2,269% reflects the inherent leverage of a mortgage banking model funded by securitizations and warehouse lines — any disruption to capital markets or credit spreads could severely impair the business [4]. Trailing GAAP losses (ROE of -6.4%, profit margin of -39.5%) reflect mark-to-market volatility that obscures underlying economics but creates real book value risk during housing downturns. The dividend has been volatile and flat over 5 years ($0.73 in 2020 to $0.72 in 2025), with no growth trajectory despite the 12.3% current yield — the yield reflects price risk, not income quality. Redwood operates in the non-agency segment that is most sensitive to housing cycles, credit quality deterioration, and regulatory changes. The payout ratio of 329% on GAAP earnings requires distributable earnings to consistently exceed GAAP results, which is not guaranteed if credit losses materialize. The stock's 21% discount to book may persist or widen if interest rates remain elevated and housing credit quality deteriorates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(April 29) — consensus expects $0.22 EPS with $89.5M revenue; another beat like Q4's $0.33 would validate the volume growth trajectory and could catalyze NAV convergence [1]</w:t>
      </w:r>
    </w:p>
    <w:p>
      <w:pPr>
        <w:spacing w:before="40" w:after="40"/>
        <w:ind w:left="283"/>
      </w:pPr>
      <w:r>
        <w:rPr>
          <w:rFonts w:ascii="Calibri" w:hAnsi="Calibri"/>
          <w:b/>
          <w:color w:val="4A6B25"/>
          <w:sz w:val="20"/>
        </w:rPr>
        <w:t xml:space="preserve">2. </w:t>
      </w:r>
      <w:r>
        <w:rPr>
          <w:rFonts w:ascii="Calibri" w:hAnsi="Calibri"/>
          <w:b w:val="0"/>
          <w:color w:val="3A4A28"/>
          <w:sz w:val="20"/>
        </w:rPr>
        <w:t>Mortgage rate decline — any sustained rate reduction would accelerate refinancing volumes and expand the non-agency origination pipeline that drives Sequoia and CoreVest revenue [1]</w:t>
      </w:r>
    </w:p>
    <w:p>
      <w:pPr>
        <w:spacing w:before="40" w:after="40"/>
        <w:ind w:left="283"/>
      </w:pPr>
      <w:r>
        <w:rPr>
          <w:rFonts w:ascii="Calibri" w:hAnsi="Calibri"/>
          <w:b/>
          <w:color w:val="4A6B25"/>
          <w:sz w:val="20"/>
        </w:rPr>
        <w:t xml:space="preserve">3. </w:t>
      </w:r>
      <w:r>
        <w:rPr>
          <w:rFonts w:ascii="Calibri" w:hAnsi="Calibri"/>
          <w:b w:val="0"/>
          <w:color w:val="3A4A28"/>
          <w:sz w:val="20"/>
        </w:rPr>
        <w:t>AI-driven underwriting improvements — CTO Asthana's AI transformation mandate could improve credit selection and operating efficiency, differentiating Redwood's underwriting from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spike — higher rates would compress mortgage banking margins, reduce origination volumes, and create mark-to-market losses on the investment portfolio, directly threatening distributable earnings and the dividend [4]</w:t>
      </w:r>
    </w:p>
    <w:p>
      <w:pPr>
        <w:spacing w:before="40" w:after="40"/>
        <w:ind w:left="283"/>
      </w:pPr>
      <w:r>
        <w:rPr>
          <w:rFonts w:ascii="Calibri" w:hAnsi="Calibri"/>
          <w:b/>
          <w:color w:val="4A6B25"/>
          <w:sz w:val="20"/>
        </w:rPr>
        <w:t xml:space="preserve">2. </w:t>
      </w:r>
      <w:r>
        <w:rPr>
          <w:rFonts w:ascii="Calibri" w:hAnsi="Calibri"/>
          <w:b w:val="0"/>
          <w:color w:val="3A4A28"/>
          <w:sz w:val="20"/>
        </w:rPr>
        <w:t>Housing credit deterioration — non-agency mortgage borrowers are higher-risk by definition, and any economic recession would increase defaults in Redwood's Sequoia and CoreVest portfolios [1]</w:t>
      </w:r>
    </w:p>
    <w:p>
      <w:pPr>
        <w:spacing w:before="40" w:after="40"/>
        <w:ind w:left="283"/>
      </w:pPr>
      <w:r>
        <w:rPr>
          <w:rFonts w:ascii="Calibri" w:hAnsi="Calibri"/>
          <w:b/>
          <w:color w:val="4A6B25"/>
          <w:sz w:val="20"/>
        </w:rPr>
        <w:t xml:space="preserve">3. </w:t>
      </w:r>
      <w:r>
        <w:rPr>
          <w:rFonts w:ascii="Calibri" w:hAnsi="Calibri"/>
          <w:b w:val="0"/>
          <w:color w:val="3A4A28"/>
          <w:sz w:val="20"/>
        </w:rPr>
        <w:t>Capital markets disruption — securitization funding is the lifeblood of the business model; any credit market freeze (as in 2008 and briefly in 2020) would impair Redwood's ability to fund new originations and could trigger liquidity distress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Redwood Trust's core business — originating and securitizing residential mortgage loans — involves regulated financial processes, physical property underwriting, and complex legal structures that AI cannot replace [2]. The mortgage banking value chain requires relationships with loan originators, institutional investors, and rating agencies that create meaningful switching costs. Non-agency mortgage underwriting requires nuanced credit judgment on borrowers who fall outside agency guidelines, a task where human expertise remains critical. However, AI-driven mortgage platforms (Better.com, Rocket Mortgage's AI tools) are automating parts of the origination and underwriting process, creating competitive pressure on less technologically advanced platforms [2]. AI Opportunity (1/1): Redwood has hired a dedicated CTO to expand AI capabilities across underwriting and product offerings, and AI-enhanced credit assessment could improve risk selection and operating efficiency — a meaningful AI opportunity for a mortgage banking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Redwood Trust Q4 2025 Earnings Release — $0.33 EPS (beat by $0.11), $87.3M revenue, record $23B banking volumes, February 2026</w:t>
      </w:r>
    </w:p>
    <w:p>
      <w:pPr>
        <w:spacing w:before="20" w:after="20"/>
        <w:ind w:left="170"/>
      </w:pPr>
      <w:r>
        <w:rPr>
          <w:rFonts w:ascii="Calibri" w:hAnsi="Calibri"/>
          <w:b/>
          <w:color w:val="4A6B25"/>
          <w:sz w:val="15"/>
        </w:rPr>
        <w:t xml:space="preserve">2. </w:t>
      </w:r>
      <w:r>
        <w:rPr>
          <w:rFonts w:ascii="Calibri" w:hAnsi="Calibri"/>
          <w:b w:val="0"/>
          <w:color w:val="3A4A28"/>
          <w:sz w:val="17"/>
        </w:rPr>
        <w:t>Redwood Trust corporate website — leadership team, CTO appointment, culture values, housing credit mission</w:t>
      </w:r>
    </w:p>
    <w:p>
      <w:pPr>
        <w:spacing w:before="20" w:after="20"/>
        <w:ind w:left="170"/>
      </w:pPr>
      <w:r>
        <w:rPr>
          <w:rFonts w:ascii="Calibri" w:hAnsi="Calibri"/>
          <w:b/>
          <w:color w:val="4A6B25"/>
          <w:sz w:val="15"/>
        </w:rPr>
        <w:t xml:space="preserve">3. </w:t>
      </w:r>
      <w:r>
        <w:rPr>
          <w:rFonts w:ascii="Calibri" w:hAnsi="Calibri"/>
          <w:b w:val="0"/>
          <w:color w:val="3A4A28"/>
          <w:sz w:val="17"/>
        </w:rPr>
        <w:t>Redwood Trust ESG Report — SASB-aligned reporting, corporate responsibility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RWT (Redwood Trust),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