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RXT</w:t>
      </w:r>
      <w:r>
        <w:rPr>
          <w:rFonts w:ascii="Calibri" w:hAnsi="Calibri"/>
          <w:b/>
          <w:color w:val="1A2010"/>
          <w:sz w:val="40"/>
        </w:rPr>
        <w:t xml:space="preserve">  Rackspace Technology, Inc.</w:t>
      </w:r>
    </w:p>
    <w:p>
      <w:pPr>
        <w:spacing w:after="120"/>
      </w:pPr>
      <w:r>
        <w:rPr>
          <w:rFonts w:ascii="Calibri" w:hAnsi="Calibri"/>
          <w:b/>
          <w:color w:val="6E8450"/>
          <w:sz w:val="18"/>
        </w:rPr>
        <w:t>GROWTH SLEEVE · 2026-05-12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Rackspace Technology, Inc. operates as a hybrid cloud and artificial intelligence solutions company. It provides multicloud management, private cloud infrastructure, AI deployment services, and security solutions across public and private cloud environments for enterprise customers in regulated industries.</w:t>
      </w:r>
    </w:p>
    <w:p>
      <w:r>
        <w:rPr>
          <w:rFonts w:ascii="Calibri" w:hAnsi="Calibri"/>
          <w:b/>
          <w:color w:val="6E8450"/>
          <w:sz w:val="18"/>
        </w:rPr>
        <w:t>5,000 Employees · https://www.rackspace.com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Rackspace has pivoted from a managed hosting company to an AI-first multicloud solutions provider over the past five years, launching Rackspace AI Business and the Foundry for AI by Rackspace (FAIR) platform — a meaningful business model transformation (2 pts track record) [1][2]. The company has shipped AI products including AI LaunchPad and closed a joint deal with Palantir in 41 days, demonstrating AI deployment with customer revenue though specific AI revenue figures are not broken out (1 pt AI deployment) [1]. Not a market share leader — Rackspace competes in a crowded cloud services market against AWS, Azure, and GCP directly (0 pts). AI Business platform and Palantir partnership represent pipeline activity but with vague timelines (1 pt pipeline) [2]. R&amp;D spending appears at industry average for cloud services (1 pt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Rackspace's mission to be 'where enterprise AI runs and outcomes scale' is functional but lacks a deeper purpose beyond serving enterprise IT needs — clear but not distinctive (2 pts mission floor) [2]. The company's ESG reports highlight carbon reduction targets (80% reduction via new HQ) and sustainability initiatives, earning SustainableIT Impact Awards recognition, though programs are corporate-standard rather than distinctive (1 pt community impact) [3]. Employee culture has deteriorated since the Apollo Global Management buyout, with Glassdoor reviews noting the culture 'is not the same as it was' and frequent senior leadership changes making direction unclear (0 pts retention) [2]. No evidence of meaningful insider buying by executives in the last 12 months (0 pts insider buying). CEO Gajen Kandiah joined September 2025 and the leadership team remains in transition (1 pt for adequate trust but offset by instability).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profile is challenged: profit margin is negative at -5.4%, D/E and ROE are not reported (likely due to negative equity from leveraged buyout), and forward P/E of 43.5 reflects speculative valuation relative to modest 1.9% revenue growth [4]. PEG ratio of 4.93 far exceeds the 3.0 floor, scoring 0. Q1 2026 showed improvement with net income of $8M (versus -$72M prior year) and 20% non-GAAP operating profit growth to $31M [1]. FY2026 guidance of $2.6-$2.7B revenue with $305-$315M adjusted EBITDA signals potential stabilization. Liquidity floor passes at $156.8M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Rackspace demonstrates strategic flexibility in pivoting to AI-first cloud services but suffers from organizational instability driven by private equity ownership, frequent CEO changes, and a culture that has been disrupted by financial engineering priorities.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Rackspace's 'Fanatical Support' ethos was once a genuine differentiator and purpose, but years of private equity ownership and strategic pivots have diluted it. The current AI-first positioning is market-driven rather than cause-driven — 'where enterprise AI runs' is a value proposition, not a Just Cause [2]. The company has changed strategic direction multiple times since the 2016 Apollo buyout.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culture in decline since the Apollo buyout: 'culture is not the same as it was,' senior leadership changes frequently making direction unclear, and some managers 'just look at the numbers' [2]. Executive team rated in the Top 20% on Comparably, but this contrasts with cultural erosion described by longer-tenured employees. CEO Kandiah is only the latest in a series of leadership changes.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Rackspace operates in a market dominated by AWS, Azure, and GCP. Rather than competing to destroy, the company has taken a partner approach — offering managed services on top of hyperscaler platforms and partnering with Palantir for AI deployment [1]. This reflects pragmatic coexistence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managed hosting to multicloud AI solutions represents meaningful strategic adaptation driven by market necessity rather than vision. The pivot has been incremental across multiple CEO tenures rather than a decisive reinvention — each leader brought a slightly different strategy [2]. The company is adapting but has not yet completed a transformative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investment in AI capabilities and the FAIR platform while the company is still unprofitable represents some willingness to invest for the long term [1]. However, private equity ownership priorities (Apollo Global Management) tend to emphasize financial returns over long-term capability building, and the company's history of restructuring and leadership turnover undermines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Rackspace is executing a credible pivot to enterprise AI infrastructure, with Q1 2026 showing the first quarterly profit ($8M net income) in years, 20% non-GAAP operating profit growth, and strategic wins including a Palantir partnership closed in 41 days [1]. The company's regulated private cloud expertise creates defensible positioning as enterprises need managed AI environments with compliance guarantees.</w:t>
      </w:r>
    </w:p>
    <w:p>
      <w:pPr>
        <w:spacing w:after="120"/>
      </w:pPr>
      <w:r>
        <w:rPr>
          <w:rFonts w:ascii="Calibri" w:hAnsi="Calibri"/>
          <w:b w:val="0"/>
          <w:color w:val="3A4A28"/>
          <w:sz w:val="20"/>
        </w:rPr>
        <w:t>The thesis remains speculative given negative GAAP profitability, an inflated PEG of 4.93, undisclosed leverage metrics, and a stock trading below $5. Years of PE-driven restructuring have eroded the 'Fanatical Support' culture that once differentiated Rackspace, and competition from hyperscalers offering their own managed AI services creates structural pressure. FY2026 guidance of $2.6-$2.7B revenue with $305-$315M adjusted EBITDA provides a framework for monitoring execution, but the path to sustainable profitability remains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$160-170M non-GAAP operating profit and $305-315M adjusted EBITDA represents a potential inflection point toward sustainable profitability [1]</w:t>
      </w:r>
    </w:p>
    <w:p>
      <w:pPr>
        <w:spacing w:before="40" w:after="40"/>
        <w:ind w:left="283"/>
      </w:pPr>
      <w:r>
        <w:rPr>
          <w:rFonts w:ascii="Calibri" w:hAnsi="Calibri"/>
          <w:b/>
          <w:color w:val="4A6B25"/>
          <w:sz w:val="20"/>
        </w:rPr>
        <w:t xml:space="preserve">2. </w:t>
      </w:r>
      <w:r>
        <w:rPr>
          <w:rFonts w:ascii="Calibri" w:hAnsi="Calibri"/>
          <w:b w:val="0"/>
          <w:color w:val="3A4A28"/>
          <w:sz w:val="20"/>
        </w:rPr>
        <w:t>Enterprise AI infrastructure demand is accelerating, with 60% of AI projects stalling in production — Rackspace's managed AI services directly address this gap [2]</w:t>
      </w:r>
    </w:p>
    <w:p>
      <w:pPr>
        <w:spacing w:before="40" w:after="40"/>
        <w:ind w:left="283"/>
      </w:pPr>
      <w:r>
        <w:rPr>
          <w:rFonts w:ascii="Calibri" w:hAnsi="Calibri"/>
          <w:b/>
          <w:color w:val="4A6B25"/>
          <w:sz w:val="20"/>
        </w:rPr>
        <w:t xml:space="preserve">3. </w:t>
      </w:r>
      <w:r>
        <w:rPr>
          <w:rFonts w:ascii="Calibri" w:hAnsi="Calibri"/>
          <w:b w:val="0"/>
          <w:color w:val="3A4A28"/>
          <w:sz w:val="20"/>
        </w:rPr>
        <w:t>Palantir partnership and AI LaunchPad product could drive meaningful AI revenue growth as enterprises move from AI experimentation to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Hyperscalers (AWS, Azure, GCP) are building their own managed AI services that could disintermediate Rackspace's value proposition in the public cloud segment</w:t>
      </w:r>
    </w:p>
    <w:p>
      <w:pPr>
        <w:spacing w:before="40" w:after="40"/>
        <w:ind w:left="283"/>
      </w:pPr>
      <w:r>
        <w:rPr>
          <w:rFonts w:ascii="Calibri" w:hAnsi="Calibri"/>
          <w:b/>
          <w:color w:val="4A6B25"/>
          <w:sz w:val="20"/>
        </w:rPr>
        <w:t xml:space="preserve">2. </w:t>
      </w:r>
      <w:r>
        <w:rPr>
          <w:rFonts w:ascii="Calibri" w:hAnsi="Calibri"/>
          <w:b w:val="0"/>
          <w:color w:val="3A4A28"/>
          <w:sz w:val="20"/>
        </w:rPr>
        <w:t>Private equity ownership (Apollo) may prioritize near-term financial engineering over long-term strategic investment, and frequent CEO turnover creates execution risk [2]</w:t>
      </w:r>
    </w:p>
    <w:p>
      <w:pPr>
        <w:spacing w:before="40" w:after="40"/>
        <w:ind w:left="283"/>
      </w:pPr>
      <w:r>
        <w:rPr>
          <w:rFonts w:ascii="Calibri" w:hAnsi="Calibri"/>
          <w:b/>
          <w:color w:val="4A6B25"/>
          <w:sz w:val="20"/>
        </w:rPr>
        <w:t xml:space="preserve">3. </w:t>
      </w:r>
      <w:r>
        <w:rPr>
          <w:rFonts w:ascii="Calibri" w:hAnsi="Calibri"/>
          <w:b w:val="0"/>
          <w:color w:val="3A4A28"/>
          <w:sz w:val="20"/>
        </w:rPr>
        <w:t>Negative GAAP profitability and undisclosed D/E ratio suggest significant balance sheet risk from the leveraged buyout 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Rackspace is positioning itself as AI infrastructure — the company building and managing the environments where enterprise AI runs — which makes it structurally aligned with rather than threatened by AI adoption (6 pts risk protection) [1][2]. Its private cloud solutions for regulated industries (financial services, healthcare, government) benefit from compliance requirements and switching costs that AI cannot easily replicate. However, the company's legacy managed hosting business faces compression from self-service cloud platforms, and hyperscalers are building their own managed services that could bypass Rackspace. The Foundry for AI (FAIR) platform, AI LaunchPad, and Palantir partnership generate meaningful AI-related revenue, positioning Rackspace as an AI enabler (1 pt AI opportunity)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Rackspace Technology Q1 2026 Earnings Release and Call, GuruFocus/StockTitan,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Rackspace Technology Leadership, AI Strategy, and Glassdoor Reviews, Company Website/Glassdoor, 2025-2026</w:t>
      </w:r>
    </w:p>
    <w:p>
      <w:pPr>
        <w:spacing w:before="20" w:after="20"/>
        <w:ind w:left="170"/>
      </w:pPr>
      <w:r>
        <w:rPr>
          <w:rFonts w:ascii="Calibri" w:hAnsi="Calibri"/>
          <w:b/>
          <w:color w:val="4A6B25"/>
          <w:sz w:val="15"/>
        </w:rPr>
        <w:t xml:space="preserve">3. </w:t>
      </w:r>
      <w:r>
        <w:rPr>
          <w:rFonts w:ascii="Calibri" w:hAnsi="Calibri"/>
          <w:b w:val="0"/>
          <w:color w:val="3A4A28"/>
          <w:sz w:val="17"/>
        </w:rPr>
        <w:t>Rackspace ESG and Sustainability Report, Company Website/SustainableIT Awards,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RXT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