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RYAM</w:t>
      </w:r>
      <w:r>
        <w:rPr>
          <w:rFonts w:ascii="Calibri" w:hAnsi="Calibri"/>
          <w:b/>
          <w:color w:val="1A2010"/>
          <w:sz w:val="40"/>
        </w:rPr>
        <w:t xml:space="preserve">  Rayonier Advanced Materials Inc.</w:t>
      </w:r>
    </w:p>
    <w:p>
      <w:pPr>
        <w:spacing w:after="120"/>
      </w:pPr>
      <w:r>
        <w:rPr>
          <w:rFonts w:ascii="Calibri" w:hAnsi="Calibri"/>
          <w:b/>
          <w:color w:val="6E8450"/>
          <w:sz w:val="18"/>
        </w:rPr>
        <w:t>GROWTH SLEEVE · 2026-05-04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Rayonier Advanced Materials manufactures and sells cellulose specialty products globally, serving applications including liquid crystal displays, impact-resistant plastics, pharmaceuticals, food thickeners, cigarette filters, and textiles. The company operates through five segments: Cellulose Specialties, Biomaterials, Cellulose Commodities, Paperboard, and High-Yield Pulp, with manufacturing facilities in the U.S., Canada, and France.</w:t>
      </w:r>
    </w:p>
    <w:p>
      <w:r>
        <w:rPr>
          <w:rFonts w:ascii="Calibri" w:hAnsi="Calibri"/>
          <w:b/>
          <w:color w:val="6E8450"/>
          <w:sz w:val="18"/>
        </w:rPr>
        <w:t>2,325 Employees · https://ryam.com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RYAM has attempted a strategic pivot toward higher-value cellulose specialties and biomaterials (bioethanol, lignosulfonates, prebiotics) over the past five years, but execution has been poor — the company has posted net losses every year from 2022-2025, culminating in a $422M loss in 2025, and is now exploring strategic alternatives [1][2]. AI Deployment (0/2): No evidence of AI-powered products or quantified AI-driven cost savings in manufacturing or operations. Market Share (1/2): RYAM holds a meaningful position in the cellulose specialties niche as one of the world's largest producers of high-purity dissolving pulp, but is losing competitive ground as revenue declined from $1.72B in 2022 to $1.47B in 2025 [1][5]. Pipeline (1/2): The biomaterials segment (biofuels, prebiotics, lignosulfonates) represents a genuine next-generation pipeline, and management's 2026 'value-over-volume' pricing strategy aims to improve economics, but commercialization at scale remains unproven and timelines are vague [1]. R&amp;D Intensity (1/1): Investment in biomaterials development and cellulose specialty applications is consistent with specialty chemical industry expectations.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RYAM's corporate messaging focuses on being a 'leading producer of cellulose specialties' without articulating a distinctive purpose beyond manufacturing — the mission is generic and interchangeable with any specialty chemical company [3]. Community Impact (1/2): The company operates manufacturing facilities in Jacksonville (FL), Jesup (GA), Fernandina Beach (FL), and Temiscaming (Quebec), providing meaningful local employment for 2,325 workers in these communities; ESG reports document environmental and community engagement initiatives [4]. Employee Retention (0/2): Glassdoor ratings are weak — 3.0/5 for work-life balance and 3.3 for culture/values, with employee comments citing 'C-suite egos control everything' and nothing getting done 'efficiently, timely or fairly'; 68% recommendation rate is below average [3]. Insider Buying (1/2): No meaningful insider open-market purchases in the last 12 months — recent insider activity consists entirely of stock grants (compensation) with no officers or directors buying with personal funds; however, the compensation-based grants demonstrate some alignment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RYAM's financial profile is severely distressed. The company reported a net loss of $422M in 2025 on $1.47B revenue (-28.7% profit margin), with negative free cash flow of $75.5M and an Altman Z-Score of 1.21 placing it in the bankruptcy risk zone [1][5]. D/E of 245.7% reflects heavy leverage ($806M debt against $317M equity, with only $75M cash), and ROE is deeply negative at -80.4% [5]. Revenue has declined for three consecutive years from $1.72B to $1.47B (-5.1% 3-year CAGR). The sole bright spot is the forward P/E of 7.9x, reflecting analyst expectations of a return to profitability in FY2026 with $1.18 forward EPS. Management's stated 2026 priority of achieving positive free cash flow is appropriate but far from assured. Liquidity floor cleared at $10.8M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RYAM is playing a survival game, not an infinite one. The company has lost money every year from 2022-2025, cycled through CEOs (Bloomquist retired, Sutton appointed January 2026 then resigned, interim Office of CEO established), and announced a strategic alternatives review in April 2026 — signaling the board is considering selling the company. This is a company managing crisis, not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RYAM exists to manufacture cellulose products — there is no articulated vision of a better future, no cause that inspires beyond profit. The company's strategic communications focus on financial metrics (EBITDA, free cash flow, pricing) rather than purpose. The April 2026 strategic alternatives review confirms the company is optimizing for shareholder value extraction rather than long-term mission fulfillment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CEO turnover — Bloomquist retired, Sutton appointed January 2026 and already resigned, interim Office of CEO established — creates organizational instability at the highest level [2]. Glassdoor reviews describe 'C-suite egos control everything' and inefficient decision-making. The revolving door of leadership undermines trust and psychological safety across the 2,325-employee organization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(0 pts). RYAM's competitive language focuses on defending market share in cellulose specialties through pricing power and volume management — classic finite-game tactics. The strategic alternatives review further signals a focus on transaction value rather than competitive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 pt). The biomaterials segment (bioethanol, prebiotics, lignosulfonates) represents a genuine strategic pivot from traditional commodity pulp toward higher-value bio-based products. The 'value-over-volume' pricing strategy announced for 2026 is a meaningful shift in approach. However, these pivots have not yet proven commercially successful — the company has lost money through the transition — so the flexibility is aspirational rather than validated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(0 pts). The company has posted losses for four consecutive years without making the decisive structural changes needed to restore profitability. The revolving-door CEO situation (two transitions in under six months) suggests board indecision rather than courageous action. The strategic alternatives review may ultimately prove courageous (selling the company to a better-capitalized owner), but it reads as capitulation rather than conviction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RYAM offers a deep-value turnaround opportunity at 7.9x forward earnings with an April 2026 strategic alternatives review that could unlock shareholder value through a sale or restructuring [1][2]. The company holds meaningful market positions in cellulose specialties — a niche product category with high switching costs for pharmaceutical, food, and LCD display customers — and the biomaterials pivot (bioethanol, prebiotics, lignosulfonates) provides optionality on the growing bio-based materials trend. Management's 2026 priorities of achieving positive free cash flow and 'substantially better' EBITDA through value-based pricing, cost cuts, and reduced capex could restore profitability if executed successfully [1]. At $627M market cap with $1.47B revenue, the stock is priced at 0.43x sales — a distressed valuation that offers asymmetric upside if the turnaround gains traction or a buyer emerges.</w:t>
      </w:r>
    </w:p>
    <w:p>
      <w:pPr>
        <w:spacing w:after="120"/>
      </w:pPr>
      <w:r>
        <w:rPr>
          <w:rFonts w:ascii="Calibri" w:hAnsi="Calibri"/>
          <w:b w:val="0"/>
          <w:color w:val="3A4A28"/>
          <w:sz w:val="20"/>
        </w:rPr>
        <w:t>The bear case is severe and well-documented. RYAM has posted net losses every year from 2022-2025, with the 2025 loss of $422M representing a catastrophic deterioration [5]. D/E of 245.7% with $806M debt and only $75M cash creates genuine solvency risk — the Altman Z-Score of 1.21 places the company in the bankruptcy distress zone [2]. CEO turnover is alarming: Scott Sutton was appointed in January 2026 and has already resigned, with the board establishing an interim Office of CEO. Revenue has declined 15% from 2022 peak ($1.72B to $1.47B), and the Jesup facility fire creates additional operational uncertainty [2]. The strategic alternatives review may not result in a transaction, and dilutive equity raises or debt restructuring could destroy remaining shareholder value. Commodity pulp price volatility and declining demand for cigarette filters (a key cellulose specialties application) represent structural headwinds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review announced April 2026 — potential sale, merger, or restructuring could unlock value above the $627M market cap for cellulose specialty assets [2]</w:t>
      </w:r>
    </w:p>
    <w:p>
      <w:pPr>
        <w:spacing w:before="40" w:after="40"/>
        <w:ind w:left="283"/>
      </w:pPr>
      <w:r>
        <w:rPr>
          <w:rFonts w:ascii="Calibri" w:hAnsi="Calibri"/>
          <w:b/>
          <w:color w:val="4A6B25"/>
          <w:sz w:val="20"/>
        </w:rPr>
        <w:t xml:space="preserve">2. </w:t>
      </w:r>
      <w:r>
        <w:rPr>
          <w:rFonts w:ascii="Calibri" w:hAnsi="Calibri"/>
          <w:b w:val="0"/>
          <w:color w:val="3A4A28"/>
          <w:sz w:val="20"/>
        </w:rPr>
        <w:t>2026 profitability turnaround — management targets positive free cash flow and 'substantially better' EBITDA through value-based pricing, cost reductions, and capex cuts [1]</w:t>
      </w:r>
    </w:p>
    <w:p>
      <w:pPr>
        <w:spacing w:before="40" w:after="40"/>
        <w:ind w:left="283"/>
      </w:pPr>
      <w:r>
        <w:rPr>
          <w:rFonts w:ascii="Calibri" w:hAnsi="Calibri"/>
          <w:b/>
          <w:color w:val="4A6B25"/>
          <w:sz w:val="20"/>
        </w:rPr>
        <w:t xml:space="preserve">3. </w:t>
      </w:r>
      <w:r>
        <w:rPr>
          <w:rFonts w:ascii="Calibri" w:hAnsi="Calibri"/>
          <w:b w:val="0"/>
          <w:color w:val="3A4A28"/>
          <w:sz w:val="20"/>
        </w:rPr>
        <w:t>Biomaterials commercialization — scaling bioethanol, prebiotics, and lignosulfonates production could diversify revenue into higher-growth bio-based materials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Solvency risk — Altman Z-Score of 1.21 (distress zone), $806M debt vs $75M cash, and four consecutive years of net losses raise genuine bankruptcy concerns if the turnaround fails [2][5]</w:t>
      </w:r>
    </w:p>
    <w:p>
      <w:pPr>
        <w:spacing w:before="40" w:after="40"/>
        <w:ind w:left="283"/>
      </w:pPr>
      <w:r>
        <w:rPr>
          <w:rFonts w:ascii="Calibri" w:hAnsi="Calibri"/>
          <w:b/>
          <w:color w:val="4A6B25"/>
          <w:sz w:val="20"/>
        </w:rPr>
        <w:t xml:space="preserve">2. </w:t>
      </w:r>
      <w:r>
        <w:rPr>
          <w:rFonts w:ascii="Calibri" w:hAnsi="Calibri"/>
          <w:b w:val="0"/>
          <w:color w:val="3A4A28"/>
          <w:sz w:val="20"/>
        </w:rPr>
        <w:t>Leadership vacuum — two CEO transitions in six months (Bloomquist retirement, Sutton appointment and resignation) create strategic uncertainty during a critical turnaround period [2]</w:t>
      </w:r>
    </w:p>
    <w:p>
      <w:pPr>
        <w:spacing w:before="40" w:after="40"/>
        <w:ind w:left="283"/>
      </w:pPr>
      <w:r>
        <w:rPr>
          <w:rFonts w:ascii="Calibri" w:hAnsi="Calibri"/>
          <w:b/>
          <w:color w:val="4A6B25"/>
          <w:sz w:val="20"/>
        </w:rPr>
        <w:t xml:space="preserve">3. </w:t>
      </w:r>
      <w:r>
        <w:rPr>
          <w:rFonts w:ascii="Calibri" w:hAnsi="Calibri"/>
          <w:b w:val="0"/>
          <w:color w:val="3A4A28"/>
          <w:sz w:val="20"/>
        </w:rPr>
        <w:t>Structural revenue decline — revenue down 15% from 2022 peak driven by declining cigarette filter demand, commodity pulp price weakness, and global competition from lower-cost producers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RYAM's core business — manufacturing cellulose specialty products and commodity pulp through chemical processing of wood fiber — is a physical-world manufacturing operation that AI cannot replicate or substitute [1]. Cellulose specialties require complex chemical engineering, regulatory compliance (food/pharma applications), and physical plant infrastructure. The company's products serve end markets (LCD screens, pharmaceuticals, food additives, textiles) where demand is driven by population growth and consumer spending, not knowledge work that AI could displace. However, commoditized pulp segments face ongoing competitive pressure from lower-cost global producers, and AI-driven supply chain optimization by competitors could compress margins further. AI Opportunity (0/1): No evidence of AI-driven revenue or customer-facing AI products. AI may improve manufacturing efficiency over time but is not currently generating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Advanced Materials Q4 2025 Earnings Release — revenue $417M, FY2025 revenue $1.5B, EBITDA $133M, February 2026</w:t>
      </w:r>
    </w:p>
    <w:p>
      <w:pPr>
        <w:spacing w:before="20" w:after="20"/>
        <w:ind w:left="170"/>
      </w:pPr>
      <w:r>
        <w:rPr>
          <w:rFonts w:ascii="Calibri" w:hAnsi="Calibri"/>
          <w:b/>
          <w:color w:val="4A6B25"/>
          <w:sz w:val="15"/>
        </w:rPr>
        <w:t xml:space="preserve">2. </w:t>
      </w:r>
      <w:r>
        <w:rPr>
          <w:rFonts w:ascii="Calibri" w:hAnsi="Calibri"/>
          <w:b w:val="0"/>
          <w:color w:val="3A4A28"/>
          <w:sz w:val="17"/>
        </w:rPr>
        <w:t>RYAM Strategic Alternatives Review announcement — exploring sale, restructuring to maximize shareholder value, April 20, 2026</w:t>
      </w:r>
    </w:p>
    <w:p>
      <w:pPr>
        <w:spacing w:before="20" w:after="20"/>
        <w:ind w:left="170"/>
      </w:pPr>
      <w:r>
        <w:rPr>
          <w:rFonts w:ascii="Calibri" w:hAnsi="Calibri"/>
          <w:b/>
          <w:color w:val="4A6B25"/>
          <w:sz w:val="15"/>
        </w:rPr>
        <w:t xml:space="preserve">3. </w:t>
      </w:r>
      <w:r>
        <w:rPr>
          <w:rFonts w:ascii="Calibri" w:hAnsi="Calibri"/>
          <w:b w:val="0"/>
          <w:color w:val="3A4A28"/>
          <w:sz w:val="17"/>
        </w:rPr>
        <w:t>Glassdoor — Rayonier Advanced Materials employee reviews, 3.3/5 culture rating, 68% recommendation,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RYAM ESG Progress Report — environmental and sustainability initiatives, 2022-2025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RYAM (Rayonier Advanced Materials),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