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RYN</w:t>
      </w:r>
      <w:r>
        <w:rPr>
          <w:rFonts w:ascii="Calibri" w:hAnsi="Calibri"/>
          <w:b/>
          <w:color w:val="1A2010"/>
          <w:sz w:val="40"/>
        </w:rPr>
        <w:t xml:space="preserve">  Rayonier Inc.</w:t>
      </w:r>
    </w:p>
    <w:p>
      <w:pPr>
        <w:spacing w:after="120"/>
      </w:pPr>
      <w:r>
        <w:rPr>
          <w:rFonts w:ascii="Calibri" w:hAnsi="Calibri"/>
          <w:b/>
          <w:color w:val="6E8450"/>
          <w:sz w:val="18"/>
        </w:rPr>
        <w:t>DIVIDEND SLEEVE · 2026-04-09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Rayonier is a timber-focused REIT managing over 4.2 million acres of timberland across the U.S. South and Pacific Northwest following its October 2025 merger with PotlatchDeltic, creating the largest private timberland owner in the United States. The company operates six sawmills, an industrial-grade plywood mill, residential and commercial real estate developments, and a rural land sales program, with a growing land-based carbon solutions business.</w:t>
      </w:r>
    </w:p>
    <w:p>
      <w:r>
        <w:rPr>
          <w:rFonts w:ascii="Calibri" w:hAnsi="Calibri"/>
          <w:b/>
          <w:color w:val="6E8450"/>
          <w:sz w:val="18"/>
        </w:rPr>
        <w:t>https://www.rayonier.com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October 2025 all-stock merger with PotlatchDeltic created a $7.1B combined entity with 4.2M acres, representing the most significant strategic move in Rayonier's recent history [1]. However, this is consolidation rather than product innovation — the core business of growing and harvesting timber remains fundamentally unchanged. AI Deployment (0/2): No AI-powered products, services, or quantified internal AI efficiency gains in timber harvesting, sawmill operations, or real estate development. Market Share (1/2): Post-merger, Rayonier is now the largest private timberland owner in the U.S., a meaningful competitive position in a fragmented industry [1]. However, timberland is a commodity business where share leadership does not confer pricing power. Pipeline (1/2): Land-based carbon solutions represent a forward-looking revenue stream aligned with carbon credit markets, and real estate development from the portfolio provides optionality, but no specific next-generation products with firm timelines have been disclosed [1]. R&amp;D Intensity (0/1): REITs have minimal R&amp;D investment; Rayonier's innovation is operational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Rayonier's purpose — 'managing timberlands on a sustainable basis while optimizing portfolio value' combined with 'supporting climate change mitigation through land-based solutions' — is specific and connects the business to environmental stewardship [3]. The 100-year timber crop cycle inherently demands long-term thinking, and the carbon sequestration mission adds distinctive depth beyond typical REIT language. Community Impact (1/2): Rayonier's forestlands sequestered an estimated 14.6 million metric tons of CO2 equivalents in 2022 versus corporate emissions of roughly 290,000 metric tons — a 50:1 carbon-positive ratio [3]. Third-party forest certification demonstrates commitment to sustainable practices. Employee Retention (1/2): Glassdoor ratings of 3.5-3.6/5 for work-life balance and culture, with 70% recommendation rate and a leadership approach described as empowering employees to 'challenge the old way' [2]. The 'One Rayonier' cultural initiative suggests intentional team-building. Insider Buying (0/2): Net insider selling — Director Eric Cremers sold $3.6M in shares in February 2026 [4]. No meaningful insider buying detected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Rayonier's financials are distorted by the October 2025 PotlatchDeltic merger, which inflated 2024 reported revenue to $987.9M and generated a large one-time gain pushing 2025 profit margin to 97.9% and net income to $474.4M [1][4]. Stripping out merger effects, the underlying timber business is stable but slow-growing. D/E of 47.1% is conservative for a REIT, well within the 70% target [4]. ROE of 3.6% is depressed by the large timberland asset base (typical for timber REITs). Forward P/E of 32.4x on $0.66 EPS reflects the REIT premium and merger integration uncertainty. The dividend yield of 5.1% is attractive, but the payout ratio of 231.9% and recent quarterly dividend cuts ($0.285 to $0.273 to $0.260) signal distribution stress [4]. The company expects $40M in merger synergies by year two post-close. Liquidity floor cleared: 3.3M avg daily volume x $21.27 = $70.3M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Rayonier's 100-year timber crop cycle inherently forces infinite game thinking — you cannot manage timberland with a quarterly mindset. The merger with PotlatchDeltic to create scale, commitment to third-party forest certification, and carbon sequestration mission all reflect long-term orientation. However, recent dividend cuts and the lack of a transcendent Just Cause beyond 'sustainable timber management' keep the company in mixed territory. Sinek would approve of the time horizon but question the depth of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Rayonier's cause — sustainable forest stewardship combined with climate change mitigation through carbon sequestration — is genuine and partially validated by a 100-year operating history (incorporated 1926) [1][3]. The company's forests sequester 14.6M metric tons of CO2e annually, and third-party certification demonstrates external validation. However, the cause reads more as responsible asset management than a transformative vision of the future. Sinek would note this is closer to a well-articulated mission than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culture that empowers employees to challenge processes and prove new approaches, with a 70% recommendation rate [2]. The 'One Rayonier' cultural initiative and leadership succession plan (CEO Mark McHugh appointed April 2024) suggest intentional organizational development. However, the PotlatchDeltic merger integration is a significant cultural test — combining two organizations with different cultures creates trust risk that has not yet been resolved.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all-stock merger with PotlatchDeltic is a compelling example of worthy rival thinking — rather than trying to 'beat' a direct competitor, Rayonier acknowledged that PotlatchDeltic's complementary Pacific Northwest timberland holdings and sawmill operations would strengthen the combined entity [1]. Management described the combination as creating a platform that neither company could build alone, reflecting a mindset of mutual improvement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Rayonier has incrementally diversified from pure timberland ownership into sawmill operations (six mills), real estate development, and land-based carbon solutions [1]. The carbon credit business represents strategic evolution in response to climate markets. The PotlatchDeltic merger is an existential-scale move that transforms the company's competitive position. However, the core business — growing and harvesting timber — remains fundamentally the same as it was decades ago. These are adaptive moves,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PotlatchDeltic merger required courage — combining two public REITs involves shareholder risk, integration complexity, and leadership sacrifice [1]. The decision to cut the quarterly dividend from $0.285 to $0.260 amid the merger, while painful for income investors, demonstrates willingness to prioritize long-term balance sheet health over short-term distribution maintenance. However, the dividend cut also signals financial stress rather than purely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Rayonier is the largest private timberland owner in the United States following the October 2025 all-stock merger with PotlatchDeltic, creating a $7.1B entity managing 4.2 million acres with six sawmills and a growing real estate development portfolio [1]. The company offers a 5.1% dividend yield backed by irreplaceable physical assets — timberland that appreciates biologically (trees grow regardless of economic conditions) and provides optionality through carbon credit markets, real estate development, and lumber demand cycles. Q4 2025 revenues of $177.5M (up 43% YoY) demonstrate early merger synergy capture, with management targeting $40M in run-rate synergies by year two [1]. The timber REIT model is structurally resilient — carbon sequestration of 14.6M metric tons CO2e annually positions Rayonier as a beneficiary of climate policy trends. D/E of 47% provides balance sheet cushion for a REIT, and the post-merger scale should improve capital allocation flexibility.</w:t>
      </w:r>
    </w:p>
    <w:p>
      <w:pPr>
        <w:spacing w:after="120"/>
      </w:pPr>
      <w:r>
        <w:rPr>
          <w:rFonts w:ascii="Calibri" w:hAnsi="Calibri"/>
          <w:b w:val="0"/>
          <w:color w:val="3A4A28"/>
          <w:sz w:val="20"/>
        </w:rPr>
        <w:t>The bear case centers on merger integration risk, dividend sustainability, and fundamental growth limitations. The payout ratio of 231.9% is unsustainable — the recent quarterly dividend cuts from $0.285 to $0.260 signal distribution stress, and further cuts are possible if merger synergies disappoint [4]. Revenue and earnings data are heavily distorted by merger accounting (reported -83.8% YoY revenue decline, -92.5% earnings decline), making it difficult to assess underlying business performance until normalized financials emerge in mid-2026 [4]. Timber prices are cyclical and correlated with housing starts — if U.S. housing construction weakens, both sawmill profitability and standing timber values decline. ROE of 3.6% is structurally low for the timber REIT model due to the large asset base, limiting returns on equity. Forward P/E of 32.4x is elevated for a commodity-linked REIT with cyclical earnings. The merged entity faces integration risk — combining two organizations, rationalizing operations, and capturing $40M in synergies requires execution over 2+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Post-merger synergy realization — $40M target by end of year two (late 2027), with potential for earlier-than-expected cost savings from overlapping corporate functions and operational optimization [1]</w:t>
      </w:r>
    </w:p>
    <w:p>
      <w:pPr>
        <w:spacing w:before="40" w:after="40"/>
        <w:ind w:left="283"/>
      </w:pPr>
      <w:r>
        <w:rPr>
          <w:rFonts w:ascii="Calibri" w:hAnsi="Calibri"/>
          <w:b/>
          <w:color w:val="4A6B25"/>
          <w:sz w:val="20"/>
        </w:rPr>
        <w:t xml:space="preserve">2. </w:t>
      </w:r>
      <w:r>
        <w:rPr>
          <w:rFonts w:ascii="Calibri" w:hAnsi="Calibri"/>
          <w:b w:val="0"/>
          <w:color w:val="3A4A28"/>
          <w:sz w:val="20"/>
        </w:rPr>
        <w:t>Carbon credit market expansion — Rayonier's 14.6M metric tons of annual CO2e sequestration positions the company to monetize carbon credits as compliance and voluntary markets grow [3]</w:t>
      </w:r>
    </w:p>
    <w:p>
      <w:pPr>
        <w:spacing w:before="40" w:after="40"/>
        <w:ind w:left="283"/>
      </w:pPr>
      <w:r>
        <w:rPr>
          <w:rFonts w:ascii="Calibri" w:hAnsi="Calibri"/>
          <w:b/>
          <w:color w:val="4A6B25"/>
          <w:sz w:val="20"/>
        </w:rPr>
        <w:t xml:space="preserve">3. </w:t>
      </w:r>
      <w:r>
        <w:rPr>
          <w:rFonts w:ascii="Calibri" w:hAnsi="Calibri"/>
          <w:b w:val="0"/>
          <w:color w:val="3A4A28"/>
          <w:sz w:val="20"/>
        </w:rPr>
        <w:t>Housing cycle recovery — timber demand and lumber prices are correlated with U.S. housing starts, and any acceleration in residential construction would benefit both sawmill revenue and standing timber values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payout ratio of 231.9% and three consecutive quarterly distribution cuts ($0.285 to $0.273 to $0.260) signal income stress that could drive further cuts and alienate income-focused investors [4]</w:t>
      </w:r>
    </w:p>
    <w:p>
      <w:pPr>
        <w:spacing w:before="40" w:after="40"/>
        <w:ind w:left="283"/>
      </w:pPr>
      <w:r>
        <w:rPr>
          <w:rFonts w:ascii="Calibri" w:hAnsi="Calibri"/>
          <w:b/>
          <w:color w:val="4A6B25"/>
          <w:sz w:val="20"/>
        </w:rPr>
        <w:t xml:space="preserve">2. </w:t>
      </w:r>
      <w:r>
        <w:rPr>
          <w:rFonts w:ascii="Calibri" w:hAnsi="Calibri"/>
          <w:b w:val="0"/>
          <w:color w:val="3A4A28"/>
          <w:sz w:val="20"/>
        </w:rPr>
        <w:t>Merger integration risk — combining Rayonier and PotlatchDeltic involves operational, cultural, and financial complexity with no guarantee that targeted $40M synergies will materialize on schedule [1]</w:t>
      </w:r>
    </w:p>
    <w:p>
      <w:pPr>
        <w:spacing w:before="40" w:after="40"/>
        <w:ind w:left="283"/>
      </w:pPr>
      <w:r>
        <w:rPr>
          <w:rFonts w:ascii="Calibri" w:hAnsi="Calibri"/>
          <w:b/>
          <w:color w:val="4A6B25"/>
          <w:sz w:val="20"/>
        </w:rPr>
        <w:t xml:space="preserve">3. </w:t>
      </w:r>
      <w:r>
        <w:rPr>
          <w:rFonts w:ascii="Calibri" w:hAnsi="Calibri"/>
          <w:b w:val="0"/>
          <w:color w:val="3A4A28"/>
          <w:sz w:val="20"/>
        </w:rPr>
        <w:t>Cyclical timber price exposure — lumber prices are volatile and correlated with U.S. housing construction activity, creating earnings uncertainty that the REIT model amplifies through high distribution requirements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Rayonier's core business — owning and sustainably harvesting 4.2 million acres of timberland, operating sawmills, and developing real estate — is structurally immune to AI disruption [1]. Trees take 25-35 years to reach harvest maturity; no AI system can substitute for physical timber growth, harvesting, lumber manufacturing, or land ownership. The business is anchored in irreplaceable physical assets with regulatory protections (forest certification, environmental regulations) that add structural barriers. As data centers and construction demand increase (partly driven by AI infrastructure buildout), Rayonier may benefit from elevated lumber demand. AI Opportunity (0/1): No AI-derived revenue. Timber harvesting, sawmill operations, and real estate development remain traditional operations with no quantified AI efficiency gains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Rayonier Q4/FY2025 Earnings Call — revenues $177.5M (+43% YoY), PotlatchDeltic merger completion October 2025, $7.1B combined entity,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 Rayonier employee reviews, 70% recommendation rate, 'One Rayonier' culture, leadership succession plan,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Rayonier 2022 Sustainability Report — 14.6M metric tons CO2e sequestered, third-party forest certification, land-based solutions, 3BL Media,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RYN (Rayonier), insider transactions, dividend history, and financial metrics,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