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RY</w:t>
      </w:r>
      <w:r>
        <w:rPr>
          <w:rFonts w:ascii="Calibri" w:hAnsi="Calibri"/>
          <w:b/>
          <w:color w:val="1A2010"/>
          <w:sz w:val="40"/>
        </w:rPr>
        <w:t xml:space="preserve">  Royal Bank of Canada</w:t>
      </w:r>
    </w:p>
    <w:p>
      <w:pPr>
        <w:spacing w:after="120"/>
      </w:pPr>
      <w:r>
        <w:rPr>
          <w:rFonts w:ascii="Calibri" w:hAnsi="Calibri"/>
          <w:b/>
          <w:color w:val="6E8450"/>
          <w:sz w:val="18"/>
        </w:rPr>
        <w:t>DIVIDEND SLEEVE · 2026-04-28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Canada</w:t>
      </w:r>
    </w:p>
    <w:p>
      <w:pPr>
        <w:spacing w:after="80"/>
      </w:pPr>
      <w:r>
        <w:rPr>
          <w:rFonts w:ascii="Calibri" w:hAnsi="Calibri"/>
          <w:b w:val="0"/>
          <w:color w:val="3A4A28"/>
          <w:sz w:val="20"/>
        </w:rPr>
        <w:t>Royal Bank of Canada operates as a diversified financial service company worldwide. Through segments including Personal Banking, Commercial Banking, Wealth Management, Capital Markets, Insurance, and Investor &amp; Treasury Services, the company provides a comprehensive suite of financial products and services. RBC is Canada's largest bank by market capitalization and one of the largest banks globally, serving approximately 18 million clients across Canada, the United States, and 27 other countries.</w:t>
      </w:r>
    </w:p>
    <w:p>
      <w:r>
        <w:rPr>
          <w:rFonts w:ascii="Calibri" w:hAnsi="Calibri"/>
          <w:b/>
          <w:color w:val="6E8450"/>
          <w:sz w:val="18"/>
        </w:rPr>
        <w:t>97,469 Employees · https://www.rbc.com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RBC completed the transformative $13.5B (CAD) acquisition of HSBC Canada in March 2024, adding ~780,000 clients and significantly expanding its Canadian personal and commercial banking franchise [1]. This was the largest bank acquisition in Canadian history and demonstrates the capacity for bold strategic moves. The bank has also invested heavily in digital banking infrastructure and its Borealis AI research lab since 2016. AI Deployment (2/2): RBC ranks #3 globally and #1 in Canada in the Evident AI Index for AI maturity, the only bank ranked top-10 across all four assessment categories [2]. CEO Dave McKay has publicly stated AI investments could deliver up to C$1B in business value. The bank's AI group reports directly to the CEO, and Borealis (RBC's in-house AI research lab founded 2016) develops proprietary models for fraud detection, risk management, and customer personalization [2]. Market Share (2/2): RBC is Canada's largest bank by market capitalization (~$246B USD), with dominant market share in Canadian personal banking, wealth management, and capital markets [1]. The HSBC Canada acquisition further consolidated its #1 position. Product Pipeline (0/2): While RBC is deploying AI across operations, there are no specific next-generation financial products with named launch dates and revenue visibility — innovation is operational rather than product-pipeline driven. R&amp;D Intensity (1/1): RBC's technology spending is among the highest of Canadian banks, with the dedicated Borealis AI lab and CEO-level AI reporting structure reflecting above-peer investment intensity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RBC's purpose is to help clients thrive and communities prosper, supported by values of client first, collaboration, accountability, diversity and inclusion, and integrity. This is clear and identifies stakeholders but is relatively standard for a major bank — it doesn't articulate a distinctive vision of the future that differentiates from peer institutions [2]. Community Impact (2/2): RBC has a substantial community investment program including RBC Future Launch (a C$500M commitment to help youth access skills and jobs), RBC Emerging Artists, and significant charitable giving. The bank has been recognized as one of Canada's top corporate citizens for decades [3]. The HSBC Canada acquisition also preserved banking relationships for immigrant communities. Employee Retention (1/2): CEO Dave McKay has led RBC since 2014, providing 12 years of leadership stability. He emphasizes hiring for humility, curiosity, and continuous learning, and has spent five years flattening the organization and building agile teams [2]. However, the bank has ~97,000 employees and specific retention metrics are not publicly cited. Insider Buying (1/2): Insider transactions are roughly balanced, with management compensation significantly equity-linked through the bank's equity incentive programs.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Royal Bank of Canada's financial profile scores exceptionally well on the mechanical Infrastructure calculation. D/E is unavailable for banks (complex regulatory capital structures) and is excluded from the calculation [4]. ROE of 15.4% meets the 15% target, reflecting efficient capital deployment for a diversified bank [1]. Revenue grew 15.7% YoY to C$66.5B in FY2025, boosted by the HSBC Canada acquisition, with a 3-year CAGR of 10.9% [1]. Forward P/E of 13.9x is well below the 20x target, attractive for Canada's largest bank with record Q1 2026 earnings of C$5.79B (+13% YoY) [1]. Profit margin of 33.1% exceeds the 20% target, reflecting strong operating leverage [4]. Dividend metrics are strong: payout ratio of 42.6% (near the 40% target), 30+ consecutive years of dividends paid (historically since 1870), approximately 6 consecutive years of dividend growth, and a 5-year CAGR of 5.9% (near the 6% target) [4]. Liquidity floor cleared: 1.56M avg volume x $176.67 = $275M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Royal Bank of Canada demonstrates strong infinite game characteristics rooted in over 150 years of continuous operation, a 12-year CEO tenure with Dave McKay, and a culture that emphasizes humility, continuous learning, and agile transformation. The $13.5B HSBC Canada acquisition demonstrated courage to invest for long-term franchise building, and the bank's sustained commitment to community investment (C$500M RBC Future Launch) reflects a genuine stakeholder orientation. RBC's 150+ year history of navigating financial crises, regulatory changes, and market disruptions validates its infinite game mindset.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RBC's purpose — helping clients thrive and communities prosper — is validated by 150+ years of continuous operation through depressions, world wars, financial crises, and regulatory upheaval [1]. The C$500M RBC Future Launch commitment to youth employment and the bank's longstanding community investment programs demonstrate that the purpose is lived rather than merely stated. However, this is a standard articulation for a major bank — it describes the company's role rather than a transformative future state that inspires sacrifice. The longevity and consistency earn partial credit for validation through execution. Score: 2 weighted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McKay has invested five years in flattening the organization and driving a culture revolution, co-locating engineers, architects, process designers, and business owners to work in agile teams [2]. McKay emphasizes hiring for humility and curiosity, believing that constantly learning on the job requires humility — a leadership philosophy that aligns with Sinek's emphasis on psychological safety and empowerment [2]. His 12-year tenure as CEO provides leadership continuity, and the bank's ~97,000 employees operate within a well-established governance framework. Score: 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RBC competes against TD Bank, BMO, Scotiabank, and CIBC in Canada and against global banks like JPMorgan and Goldman Sachs in capital markets without framing competition in adversarial terms. McKay's emphasis on learning, humility, and continuous improvement reflects an infinite competitive mindset [2]. The bank's approach to disruption — empowering employees to challenge the status quo rather than fearing fintech competitors — demonstrates a learn-and-improve orientation rather than a defend-and-destroy posture.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RBC has evolved meaningfully over its 150+ year history — from a traditional Canadian bank to a global diversified financial services platform operating across 27 countries [1]. The HSBC Canada acquisition reshaped the domestic franchise, and the early investment in AI through Borealis (2016) predated the current AI boom, showing foresight. McKay's organizational transformation toward agile working methods represents cultural adaptation. However, banking remains fundamentally the same business model — these are evolutionary changes within a stable framework rather than existential pivots.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$13.5B acquisition of HSBC Canada in 2024 was the largest bank acquisition in Canadian history, representing a bold bet on expanding RBC's Canadian franchise at a time when integration risk and regulatory scrutiny were elevated [1]. CEO McKay's five-year organizational transformation — flattening hierarchies, building agile teams, and investing in the Borealis AI lab — represents sustained investment in future capability over short-term cost optimization [2]. However, these were relatively low-risk bets for Canada's largest bank with a dominant market position.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Royal Bank of Canada is Canada's largest bank by market capitalization ($246B), delivering record Q1 2026 net income of C$5.79B (+13% YoY) and diluted EPS of C$4.03 (+14% YoY), with management guiding FY2026 EPS of C$11.45 [1]. At 13.9x forward P/E, the stock trades at a significant discount to U.S. money center banks despite superior AI capabilities (#3 globally in Evident AI Index), 33% profit margins, and 15.4% ROE [2][4]. The $13.5B HSBC Canada acquisition added ~780,000 clients and is delivering integration synergies, while the 2.71% dividend yield with a sustainable 42.6% payout ratio and 5.9% five-year CAGR provides a compelling total return profile [1][4]. CEO McKay's C$1B AI business value target and the Borealis AI lab position RBC as the most technologically advanced of the Canadian Big Five banks [2].</w:t>
      </w:r>
    </w:p>
    <w:p>
      <w:pPr>
        <w:spacing w:after="120"/>
      </w:pPr>
      <w:r>
        <w:rPr>
          <w:rFonts w:ascii="Calibri" w:hAnsi="Calibri"/>
          <w:b w:val="0"/>
          <w:color w:val="3A4A28"/>
          <w:sz w:val="20"/>
        </w:rPr>
        <w:t>The bear case centers on macro and regulatory headwinds for Canadian banking. RBC's withdrawal from the Net-Zero Banking Alliance and abandonment of its C$500B sustainable finance target — citing Canada's anti-greenwashing law — creates reputational risk and suggests uncertainty about ESG disclosure standards that could affect investor sentiment [3]. Canadian household debt levels remain among the highest globally, and a potential housing correction would directly impact RBC's dominant personal banking and mortgage portfolios. The HSBC Canada integration, while progressing, adds execution risk with ~780,000 clients and thousands of employees to absorb. Revenue growth of 15.7% was heavily acquisition-driven and will normalize to mid-single digits once the HSBC impact annualizes. Cross-border regulatory exposure (U.S. operations, 27 countries) creates compliance complexity, and the PEG ratio of 2.29x suggests the market already prices in much of the growth story [4]. Additionally, the Inspire Impact score of -49 may concern faith-based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EPS guidance of C$11.45 with record Q1 results, supported by HSBC Canada integration synergies and higher net interest income from volume growth and spread expansion in Personal Banking [1]</w:t>
      </w:r>
    </w:p>
    <w:p>
      <w:pPr>
        <w:spacing w:before="40" w:after="40"/>
        <w:ind w:left="283"/>
      </w:pPr>
      <w:r>
        <w:rPr>
          <w:rFonts w:ascii="Calibri" w:hAnsi="Calibri"/>
          <w:b/>
          <w:color w:val="4A6B25"/>
          <w:sz w:val="20"/>
        </w:rPr>
        <w:t xml:space="preserve">2. </w:t>
      </w:r>
      <w:r>
        <w:rPr>
          <w:rFonts w:ascii="Calibri" w:hAnsi="Calibri"/>
          <w:b w:val="0"/>
          <w:color w:val="3A4A28"/>
          <w:sz w:val="20"/>
        </w:rPr>
        <w:t>AI-driven business value of up to C$1B as Borealis AI lab and enterprise-wide AI deployment across fraud detection, risk management, and customer personalization scale across 18 million clients [2]</w:t>
      </w:r>
    </w:p>
    <w:p>
      <w:pPr>
        <w:spacing w:before="40" w:after="40"/>
        <w:ind w:left="283"/>
      </w:pPr>
      <w:r>
        <w:rPr>
          <w:rFonts w:ascii="Calibri" w:hAnsi="Calibri"/>
          <w:b/>
          <w:color w:val="4A6B25"/>
          <w:sz w:val="20"/>
        </w:rPr>
        <w:t xml:space="preserve">3. </w:t>
      </w:r>
      <w:r>
        <w:rPr>
          <w:rFonts w:ascii="Calibri" w:hAnsi="Calibri"/>
          <w:b w:val="0"/>
          <w:color w:val="3A4A28"/>
          <w:sz w:val="20"/>
        </w:rPr>
        <w:t>Attractive 13.9x forward P/E valuation for Canada's largest bank with 15.4% ROE, 33% profit margins, and a 2.71% dividend yield with room for payout growth from the 42.6% ratio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Canadian household debt and housing market vulnerability — RBC's dominant personal banking and mortgage franchise is directly exposed to a potential correction in Canadian real estate, one of the most leveraged housing markets globally [1]</w:t>
      </w:r>
    </w:p>
    <w:p>
      <w:pPr>
        <w:spacing w:before="40" w:after="40"/>
        <w:ind w:left="283"/>
      </w:pPr>
      <w:r>
        <w:rPr>
          <w:rFonts w:ascii="Calibri" w:hAnsi="Calibri"/>
          <w:b/>
          <w:color w:val="4A6B25"/>
          <w:sz w:val="20"/>
        </w:rPr>
        <w:t xml:space="preserve">2. </w:t>
      </w:r>
      <w:r>
        <w:rPr>
          <w:rFonts w:ascii="Calibri" w:hAnsi="Calibri"/>
          <w:b w:val="0"/>
          <w:color w:val="3A4A28"/>
          <w:sz w:val="20"/>
        </w:rPr>
        <w:t>HSBC Canada integration execution risk — absorbing ~780,000 clients and associated operations from the $13.5B acquisition while maintaining service quality and achieving synergy targets [1]</w:t>
      </w:r>
    </w:p>
    <w:p>
      <w:pPr>
        <w:spacing w:before="40" w:after="40"/>
        <w:ind w:left="283"/>
      </w:pPr>
      <w:r>
        <w:rPr>
          <w:rFonts w:ascii="Calibri" w:hAnsi="Calibri"/>
          <w:b/>
          <w:color w:val="4A6B25"/>
          <w:sz w:val="20"/>
        </w:rPr>
        <w:t xml:space="preserve">3. </w:t>
      </w:r>
      <w:r>
        <w:rPr>
          <w:rFonts w:ascii="Calibri" w:hAnsi="Calibri"/>
          <w:b w:val="0"/>
          <w:color w:val="3A4A28"/>
          <w:sz w:val="20"/>
        </w:rPr>
        <w:t>ESG and regulatory uncertainty — RBC's withdrawal from the Net-Zero Banking Alliance and abandonment of the C$500B sustainable finance target creates reputational risk and reflects broader uncertainty about disclosure standards across multiple jurisdictions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Diversified banking involves deeply regulated processes, relationship-driven wealth management, complex capital markets operations, and physical branch infrastructure that create meaningful barriers to AI disruption [2]. RBC's core businesses — personal banking, commercial lending, wealth management, and capital markets — require regulatory compliance, fiduciary responsibility, and human judgment in complex financial decisions that AI cannot fully replicate. However, AI is increasingly being deployed across banking for credit scoring, fraud detection, algorithmic trading, and robo-advisory services, which could compress margins in commoditized product lines and reduce headcount advantages over time. Fintech competitors and AI-native financial platforms represent incremental competitive pressure across retail banking and payments. AI Opportunity (1/1): RBC generates meaningful business value from AI — ranked #3 globally in the Evident AI Index, CEO McKay projects up to C$1B in AI-derived business value, and the Borealis AI research lab (founded 2016) develops proprietary models for fraud detection, risk assessment, and customer personalization deployed across the bank's 18 million client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Royal Bank of Canada Q1 2026 Earnings Release — record net income C$5.79B (+13% YoY), diluted EPS C$4.03 (+14%), FY2025 total revenue C$66.5B, FY2026 EPS guidance C$11.45; HSBC Canada acquisition ($13.5B, ~780,000 clients), February 2026</w:t>
      </w:r>
    </w:p>
    <w:p>
      <w:pPr>
        <w:spacing w:before="20" w:after="20"/>
        <w:ind w:left="170"/>
      </w:pPr>
      <w:r>
        <w:rPr>
          <w:rFonts w:ascii="Calibri" w:hAnsi="Calibri"/>
          <w:b/>
          <w:color w:val="4A6B25"/>
          <w:sz w:val="15"/>
        </w:rPr>
        <w:t xml:space="preserve">2. </w:t>
      </w:r>
      <w:r>
        <w:rPr>
          <w:rFonts w:ascii="Calibri" w:hAnsi="Calibri"/>
          <w:b w:val="0"/>
          <w:color w:val="3A4A28"/>
          <w:sz w:val="17"/>
        </w:rPr>
        <w:t>Royal Bank of Canada AI and leadership — CEO Dave McKay (12-year tenure), Evident AI Index #3 globally/#1 Canada, C$1B AI business value target, Borealis AI lab (founded 2016), agile organizational transformation; Klover.ai analysis, InfotechLead, The Logic, 2024-2026</w:t>
      </w:r>
    </w:p>
    <w:p>
      <w:pPr>
        <w:spacing w:before="20" w:after="20"/>
        <w:ind w:left="170"/>
      </w:pPr>
      <w:r>
        <w:rPr>
          <w:rFonts w:ascii="Calibri" w:hAnsi="Calibri"/>
          <w:b/>
          <w:color w:val="4A6B25"/>
          <w:sz w:val="15"/>
        </w:rPr>
        <w:t xml:space="preserve">3. </w:t>
      </w:r>
      <w:r>
        <w:rPr>
          <w:rFonts w:ascii="Calibri" w:hAnsi="Calibri"/>
          <w:b w:val="0"/>
          <w:color w:val="3A4A28"/>
          <w:sz w:val="17"/>
        </w:rPr>
        <w:t>Royal Bank of Canada ESG — dropped C$500B sustainable finance target citing anti-greenwash law, withdrew from Net-Zero Banking Alliance, greenwashing accusations re fossil fuel financing; Globe and Mail, ESG Today,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RY (Royal Bank of Canada),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