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SAFX</w:t>
      </w:r>
      <w:r>
        <w:rPr>
          <w:rFonts w:ascii="Calibri" w:hAnsi="Calibri"/>
          <w:b/>
          <w:color w:val="1A2010"/>
          <w:sz w:val="40"/>
        </w:rPr>
        <w:t xml:space="preserve">  XCF Global, Inc.</w:t>
      </w:r>
    </w:p>
    <w:p>
      <w:pPr>
        <w:spacing w:after="120"/>
      </w:pPr>
      <w:r>
        <w:rPr>
          <w:rFonts w:ascii="Calibri" w:hAnsi="Calibri"/>
          <w:b/>
          <w:color w:val="6E8450"/>
          <w:sz w:val="18"/>
        </w:rPr>
        <w:t>GROWTH SLEEVE · 2026-03-23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Utilities · Utilities - Renewable · NASDAQ · United States</w:t>
      </w:r>
    </w:p>
    <w:p>
      <w:pPr>
        <w:spacing w:after="80"/>
      </w:pPr>
      <w:r>
        <w:rPr>
          <w:rFonts w:ascii="Calibri" w:hAnsi="Calibri"/>
          <w:b w:val="0"/>
          <w:color w:val="3A4A28"/>
          <w:sz w:val="20"/>
        </w:rPr>
        <w:t>XCF Global manufactures and sells renewable fuels, focusing on sustainable aviation fuel (SAF) production. The company operates its flagship New Rise Reno facility in Nevada and is pursuing a three-party merger with DevvStream and Southern Energy Renewables.</w:t>
      </w:r>
    </w:p>
    <w:p>
      <w:r>
        <w:rPr>
          <w:rFonts w:ascii="Calibri" w:hAnsi="Calibri"/>
          <w:b/>
          <w:color w:val="6E8450"/>
          <w:sz w:val="18"/>
        </w:rPr>
        <w:t>https://xcf.global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(1/3): XCF commissioned its New Rise Reno SAF facility in February 2025 and began delivering renewable fuels in March 2025, representing one meaningful product launch [1]. AI Deployment (0/2): No AI deployment or strategy evident beyond a non-binding MOU exploring SMR nuclear power for AI data centers [2]. Market Share (0/2): XCF is a micro-cap pre-revenue/early-revenue player producing less than 1% of US SAF demand with no meaningful market share [1]. Pipeline (1/2): The Reno Expansion (40M gallons additional capacity by 2028) and proposed three-party merger provide some pipeline visibility, though execution remains highly uncertain [1]. R&amp;D Intensity (1/1): The company has invested $350M in its Reno facility and plans nearly $1B in SAF production by 2028, reflecting above-average capital commitment for its size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XCF's purpose of decarbonizing aviation through SAF is clear but not distinctive — it describes what the company does without deeper purpose articulation [2]. Community Impact (0/2): No evidence of charitable programs or community investment beyond the company's core business [3]. Employee Retention (0/2): The management team has an average tenure of just 0.9 years and the board 0.1 years, indicating significant leadership instability [2]. Insider Buying (1/2): Investor EEME purchased 38M shares for $3.8M and committed to an additional $6.2M, showing some external conviction, though this is not insider buying per se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XCF Global's financial profile is extremely distressed. The stock trades at $0.33 with a market cap of $77M and is facing Nasdaq delisting risk for failing the $1.00 minimum bid requirement [6]. D/E of 5,121% is catastrophically high, though P/E of 0.61 and ROE of 13.3% appear artificially skewed by the penny stock dynamics [6]. The company has negative free cash flow of $428M and revenue growth of over 1,194,179% reflects moving from near-zero to minimal revenue [6]. Profit margin of 6.0% is positive but on negligible revenue. Liquidity floor is met: 25.2M avg volume x $0.33 = $8.3M daily liquidity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XCF Global aspires to play the infinite game of aviation decarbonization, but severe financial distress, constant leadership turnover, and Nasdaq compliance issues suggest the company is fighting for near-term survival rather than long-term value creation.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Decarbonizing global aviation through SAF is a compelling just cause aligned with long-term environmental sustainability. The federal target of 3B gallons by 2030 and 35B gallons by 2050 provides a policy framework for this mission [1]. However, the cause is undermined by questions about whether XCF can survive to execute it.</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Management tenure averaging 0.9 years and board tenure of 0.1 years signals extreme leadership instability [2]. CEO Chris Cooper was appointed just November 2025, replacing Mihir Dange, and the entire board was reconstituted following the IPO. This constant churn makes building trusting teams nearly impossible.</w:t>
      </w:r>
    </w:p>
    <w:p>
      <w:pPr>
        <w:spacing w:before="200" w:after="40"/>
      </w:pPr>
      <w:r>
        <w:rPr>
          <w:rFonts w:ascii="Calibri" w:hAnsi="Calibri"/>
          <w:b/>
          <w:color w:val="1A2010"/>
          <w:sz w:val="22"/>
        </w:rPr>
        <w:t>Worthy Rivals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XCF acknowledges the competitive SAF landscape including Neste (where new CEO Cooper previously served as US President) and other established renewable fuel producers [2]. Cooper's hire from Neste suggests recognition that established players have capabilities XCF needs to emulate.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proposed three-party merger with DevvStream and Southern Energy Renewables to create an integrated low-carbon fuels platform demonstrates willingness to pivot business structure [1]. However, pivoting via merger when you're a $77M market cap company facing delisting reads more like desperation than strategic flexibility.</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Pursuing SAF production when US output remains below 1% of jet fuel use requires courage, but the company has not demonstrated the financial discipline or execution consistency needed to lead in this space [1]. The Nasdaq compliance warning and sub-$1 stock price undermine any leadership positioning.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XCF Global operates in a structurally attractive market: US SAF demand is projected to reach $7B by 2030 with current production below 1% of jet fuel consumption, and federal policy targets 3B gallons by 2030 [1]. The New Rise Reno facility has begun producing SAF, renewable diesel, and naphtha, and the proposed merger with DevvStream and Southern Energy could create an integrated multi-pathway SAF platform. New CEO Chris Cooper brings 15+ years of renewable fuels experience from Neste, the world's largest SAF producer [2].</w:t>
      </w:r>
    </w:p>
    <w:p>
      <w:pPr>
        <w:spacing w:after="120"/>
      </w:pPr>
      <w:r>
        <w:rPr>
          <w:rFonts w:ascii="Calibri" w:hAnsi="Calibri"/>
          <w:b w:val="0"/>
          <w:color w:val="3A4A28"/>
          <w:sz w:val="20"/>
        </w:rPr>
        <w:t>The bear case is overwhelming: XCF is a $77M micro-cap trading at $0.33 with a Nasdaq delisting deadline of June 2026, debt-to-equity exceeding 5,000%, negative free cash flow of $428M, and constant leadership churn averaging under 1 year tenure [1][6]. The company's $350M investment in Reno has yet to generate meaningful revenue, and the proposed three-party merger adds execution complexity to an already precarious situation. The stock has declined 70% since late 2025, and dilutive capital raises are likely needed to survive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restart of SAF production at New Rise Reno targeting 38M gallons annual capacity in Q1 2026</w:t>
      </w:r>
    </w:p>
    <w:p>
      <w:pPr>
        <w:spacing w:before="40" w:after="40"/>
        <w:ind w:left="283"/>
      </w:pPr>
      <w:r>
        <w:rPr>
          <w:rFonts w:ascii="Calibri" w:hAnsi="Calibri"/>
          <w:b/>
          <w:color w:val="4A6B25"/>
          <w:sz w:val="20"/>
        </w:rPr>
        <w:t xml:space="preserve">2. </w:t>
      </w:r>
      <w:r>
        <w:rPr>
          <w:rFonts w:ascii="Calibri" w:hAnsi="Calibri"/>
          <w:b w:val="0"/>
          <w:color w:val="3A4A28"/>
          <w:sz w:val="20"/>
        </w:rPr>
        <w:t>Completion of three-party merger with DevvStream and Southern Energy creating integrated low-carbon platform</w:t>
      </w:r>
    </w:p>
    <w:p>
      <w:pPr>
        <w:spacing w:before="40" w:after="40"/>
        <w:ind w:left="283"/>
      </w:pPr>
      <w:r>
        <w:rPr>
          <w:rFonts w:ascii="Calibri" w:hAnsi="Calibri"/>
          <w:b/>
          <w:color w:val="4A6B25"/>
          <w:sz w:val="20"/>
        </w:rPr>
        <w:t xml:space="preserve">3. </w:t>
      </w:r>
      <w:r>
        <w:rPr>
          <w:rFonts w:ascii="Calibri" w:hAnsi="Calibri"/>
          <w:b w:val="0"/>
          <w:color w:val="3A4A28"/>
          <w:sz w:val="20"/>
        </w:rPr>
        <w:t>Nasdaq compliance recovery above $1.00 per share by June 8, 2026 deadline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Nasdaq delisting if stock fails to regain $1.00 compliance by June 2026, which would severely limit access to capital</w:t>
      </w:r>
    </w:p>
    <w:p>
      <w:pPr>
        <w:spacing w:before="40" w:after="40"/>
        <w:ind w:left="283"/>
      </w:pPr>
      <w:r>
        <w:rPr>
          <w:rFonts w:ascii="Calibri" w:hAnsi="Calibri"/>
          <w:b/>
          <w:color w:val="4A6B25"/>
          <w:sz w:val="20"/>
        </w:rPr>
        <w:t xml:space="preserve">2. </w:t>
      </w:r>
      <w:r>
        <w:rPr>
          <w:rFonts w:ascii="Calibri" w:hAnsi="Calibri"/>
          <w:b w:val="0"/>
          <w:color w:val="3A4A28"/>
          <w:sz w:val="20"/>
        </w:rPr>
        <w:t>Catastrophic debt-to-equity ratio of 5,121% with negative free cash flow of $428M creates existential funding risk</w:t>
      </w:r>
    </w:p>
    <w:p>
      <w:pPr>
        <w:spacing w:before="40" w:after="40"/>
        <w:ind w:left="283"/>
      </w:pPr>
      <w:r>
        <w:rPr>
          <w:rFonts w:ascii="Calibri" w:hAnsi="Calibri"/>
          <w:b/>
          <w:color w:val="4A6B25"/>
          <w:sz w:val="20"/>
        </w:rPr>
        <w:t xml:space="preserve">3. </w:t>
      </w:r>
      <w:r>
        <w:rPr>
          <w:rFonts w:ascii="Calibri" w:hAnsi="Calibri"/>
          <w:b w:val="0"/>
          <w:color w:val="3A4A28"/>
          <w:sz w:val="20"/>
        </w:rPr>
        <w:t>Leadership instability with sub-1-year average tenure across management and board undermines execution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SAF production is a physical-world manufacturing process involving chemical conversion of feedstocks into jet fuel — AI cannot substitute for this industrial activity [1]. The business requires physical infrastructure, regulatory approvals, and feedstock supply chains that are structurally immune to AI displacement. XCF's MOU exploring SMR nuclear for AI data center power shows AI may even increase demand for energy infrastructure [2]. AI Opportunity (0/1): No AI-related revenue is generated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XCF Global Investor Presentation, October 2025</w:t>
      </w:r>
    </w:p>
    <w:p>
      <w:pPr>
        <w:spacing w:before="20" w:after="20"/>
        <w:ind w:left="170"/>
      </w:pPr>
      <w:r>
        <w:rPr>
          <w:rFonts w:ascii="Calibri" w:hAnsi="Calibri"/>
          <w:b/>
          <w:color w:val="4A6B25"/>
          <w:sz w:val="15"/>
        </w:rPr>
        <w:t xml:space="preserve">2. </w:t>
      </w:r>
      <w:r>
        <w:rPr>
          <w:rFonts w:ascii="Calibri" w:hAnsi="Calibri"/>
          <w:b w:val="0"/>
          <w:color w:val="3A4A28"/>
          <w:sz w:val="17"/>
        </w:rPr>
        <w:t>XCF Global press releases — CEO appointment and merger announcements, November 2025–January 2026</w:t>
      </w:r>
    </w:p>
    <w:p>
      <w:pPr>
        <w:spacing w:before="20" w:after="20"/>
        <w:ind w:left="170"/>
      </w:pPr>
      <w:r>
        <w:rPr>
          <w:rFonts w:ascii="Calibri" w:hAnsi="Calibri"/>
          <w:b/>
          <w:color w:val="4A6B25"/>
          <w:sz w:val="15"/>
        </w:rPr>
        <w:t xml:space="preserve">3. </w:t>
      </w:r>
      <w:r>
        <w:rPr>
          <w:rFonts w:ascii="Calibri" w:hAnsi="Calibri"/>
          <w:b w:val="0"/>
          <w:color w:val="3A4A28"/>
          <w:sz w:val="17"/>
        </w:rPr>
        <w:t>XCF Global SEC filings, 2025</w:t>
      </w:r>
    </w:p>
    <w:p>
      <w:pPr>
        <w:spacing w:before="20" w:after="20"/>
        <w:ind w:left="170"/>
      </w:pPr>
      <w:r>
        <w:rPr>
          <w:rFonts w:ascii="Calibri" w:hAnsi="Calibri"/>
          <w:b/>
          <w:color w:val="4A6B25"/>
          <w:sz w:val="15"/>
        </w:rPr>
        <w:t xml:space="preserve">4. </w:t>
      </w:r>
      <w:r>
        <w:rPr>
          <w:rFonts w:ascii="Calibri" w:hAnsi="Calibri"/>
          <w:b w:val="0"/>
          <w:color w:val="3A4A28"/>
          <w:sz w:val="17"/>
        </w:rPr>
        <w:t>BusinessWire — Three-Party Merger Binding Term Sheet, January 26, 2026</w:t>
      </w:r>
    </w:p>
    <w:p>
      <w:pPr>
        <w:spacing w:before="20" w:after="20"/>
        <w:ind w:left="170"/>
      </w:pPr>
      <w:r>
        <w:rPr>
          <w:rFonts w:ascii="Calibri" w:hAnsi="Calibri"/>
          <w:b/>
          <w:color w:val="4A6B25"/>
          <w:sz w:val="15"/>
        </w:rPr>
        <w:t xml:space="preserve">5. </w:t>
      </w:r>
      <w:r>
        <w:rPr>
          <w:rFonts w:ascii="Calibri" w:hAnsi="Calibri"/>
          <w:b w:val="0"/>
          <w:color w:val="3A4A28"/>
          <w:sz w:val="17"/>
        </w:rPr>
        <w:t>Nasdaq Listing Qualifications notification, December 2025</w:t>
      </w:r>
    </w:p>
    <w:p>
      <w:pPr>
        <w:spacing w:before="20" w:after="20"/>
        <w:ind w:left="170"/>
      </w:pPr>
      <w:r>
        <w:rPr>
          <w:rFonts w:ascii="Calibri" w:hAnsi="Calibri"/>
          <w:b/>
          <w:color w:val="4A6B25"/>
          <w:sz w:val="15"/>
        </w:rPr>
        <w:t xml:space="preserve">6. </w:t>
      </w:r>
      <w:r>
        <w:rPr>
          <w:rFonts w:ascii="Calibri" w:hAnsi="Calibri"/>
          <w:b w:val="0"/>
          <w:color w:val="3A4A28"/>
          <w:sz w:val="17"/>
        </w:rPr>
        <w:t>Yahoo Finance — SAFX key statistics,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