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SAN</w:t>
      </w:r>
      <w:r>
        <w:rPr>
          <w:rFonts w:ascii="Calibri" w:hAnsi="Calibri"/>
          <w:b/>
          <w:color w:val="1A2010"/>
          <w:sz w:val="40"/>
        </w:rPr>
        <w:t xml:space="preserve">  Banco Santander, S.A.</w:t>
      </w:r>
    </w:p>
    <w:p>
      <w:pPr>
        <w:spacing w:after="120"/>
      </w:pPr>
      <w:r>
        <w:rPr>
          <w:rFonts w:ascii="Calibri" w:hAnsi="Calibri"/>
          <w:b/>
          <w:color w:val="6E8450"/>
          <w:sz w:val="18"/>
        </w:rPr>
        <w:t>DIVIDEND SLEEVE · 2026-03-24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Spain</w:t>
      </w:r>
    </w:p>
    <w:p>
      <w:pPr>
        <w:spacing w:after="80"/>
      </w:pPr>
      <w:r>
        <w:rPr>
          <w:rFonts w:ascii="Calibri" w:hAnsi="Calibri"/>
          <w:b w:val="0"/>
          <w:color w:val="3A4A28"/>
          <w:sz w:val="20"/>
        </w:rPr>
        <w:t>Banco Santander is one of the world's largest banks by assets, serving 180 million customers across Europe, North America, and Latin America. The bank achieved record profitability in 2025 with €14.1 billion in attributable profit (+12% YoY), delivering its seventh consecutive quarter of record results with a 16.3% return on tangible equity — among the highest of any major global bank.</w:t>
      </w:r>
    </w:p>
    <w:p>
      <w:r>
        <w:rPr>
          <w:rFonts w:ascii="Calibri" w:hAnsi="Calibri"/>
          <w:b/>
          <w:color w:val="6E8450"/>
          <w:sz w:val="18"/>
        </w:rPr>
        <w:t>212,000 Employees · https://www.santander.com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Santander has successfully built Openbank — a fully digital bank now one of the largest in Europe by deposits — as a genuine fintech innovation within a traditional bank structure, earning 2 points on Innovation Track Record[1]. The bank has deployed AI across customer service, risk management, and fraud detection at scale, with reported efficiency ratio improvement to 41.3% partly attributable to digital and AI efficiency gains, earning 2 points for AI deployment with measurable results. Santander holds significant market share in Spain, Brazil, and the UK, earning 1 point as a dominant regional player. Product pipeline includes Webster Bank integration and Payments segment expansion (+47% profit in H1 2025) — 0 points for specific named pipeline. R&amp;D intensity is below fintech norms — 0 points.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Santander's mission of contributing to 'the progress of people and companies' is specific and connected to real economic development across emerging and developed markets — earning 2 points on mission floor. Santander's financial inclusion programs across Latin America are distinctive — 4M+ unbanked individuals served through digital products — earning 1 for community impact. With 212,000 employees globally and operations in 10 core markets, retention data is mixed across regions — scoring 1 for adequate. No significant net insider buying data available for a major European bank — scoring 1 for neutral.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Santander delivered record €14.1B profit in 2025 (+12% YoY) with 16.3% RoTE and an NPL ratio of 2.92% at historic lows[1]. Full-year 2025 revenue was $132.3B (FX-adjusted decline of 4.45% but mid-high single-digit growth in constant currency). D/E ratio is high as typical for banks but RoTE of 16.3% exceeds the 15% target. Dividend yield is approximately 5-6% with a 50% total shareholder remuneration policy. €10B+ shareholder returns in buybacks and dividends in 2025. Liquidity: well above $1M floor. Forward P/E estimated around 7-8x given stock trades at significant discount to European bank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Banco Santander has operated for 170+ years through currency crises, recessions, and digital disruption — demonstrating genuine long-term durability. The bank's purpose-driven banking model, financial inclusion programs, and consistent dividend policy through cycles reflect infinite game principles. However, the CEO rotation cycle and geographic complexity limit organizational Just Cause clarity compared to single-market champions.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Santander's purpose of 'contributing to the progress of people and companies' has been expressed through 170+ years of banking across Spain, Latin America, and beyond — including maintaining operations through regional economic crises when rivals exited. The financial inclusion programs in Brazil and Mexico are genuine expressions of this purpose. Scores 2 points: genuine cause, partially validated by historical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Santander's long operational history across 10 core markets suggests organizational durability, but the bank has undergone significant workforce transformation with digital transition. Executive Ana Botín has led consistently since 2014 — a decade of stable leadership earns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Santander explicitly benchmarks against JPMorgan, BBVA, and HSBC and frames its Payments (+47% profit) and Wealth segments as areas where it can close the gap on specialized rivals. The 2028 &gt;20% RoTE target was set in explicit comparison to U.S. bank profitability levels. Scores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Santander has pivoted from traditional branch banking to digital banking (Openbank), expanded into payments (PagoNxt), and entered the U.S. consumer market through Santander US. The Webster acquisition represents a significant U.S. market push. Scores 1 point for meaningful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Santander maintained operations in Brazil, Argentina, and Mexico through severe currency and economic crises when many European peers exited Latin America — demonstrating strategic conviction over short-term earnings optimization. The €10B shareholder return commitment in 2025-2026 alongside growth investment reflects disciplined capital allocation. Scores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Banco Santander delivered record results in 2025 with €14.1B profit (+12%), 16.3% RoTE (beating the 16.5% target), 180M customers, and its seventh consecutive quarter of record profitability[1]. The bank trades at approximately 0.9x tangible book with a forward P/E of 7-8x and 5.5% dividend yield — representing compelling value relative to U.S. bank peers that trade at 1.5-2x TBV. Santander has committed €10B+ in shareholder returns for 2025-2026 combined, with a 50% payout policy and a 2028 target of &gt;20% RoTE that would justify significant P/TBV multiple expansion.</w:t>
      </w:r>
    </w:p>
    <w:p>
      <w:pPr>
        <w:spacing w:after="120"/>
      </w:pPr>
      <w:r>
        <w:rPr>
          <w:rFonts w:ascii="Calibri" w:hAnsi="Calibri"/>
          <w:b w:val="0"/>
          <w:color w:val="3A4A28"/>
          <w:sz w:val="20"/>
        </w:rPr>
        <w:t>The bear case is that Santander's geographic diversification creates risks that discount its valuation: Brazilian interest rate sensitivity, Argentine peso risk, UK mortgage margin compression, and U.S. consumer credit quality could each impair earnings in ways that European bank valuations fail to fully price. The Webster acquisition adds U.S. integration complexity. U.S. regulatory scrutiny of foreign banks has increased. At the current ADR price, currency movements between EUR/USD and BRL/USD can materially affect reported USD earnings regardless of underlying operational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interest rate cuts materializing in 2026-2027 as management has guided positive NII sensitivity to rate cuts in Brazil, potentially releasing the negative sensitivity drag that has weighed on Latin American segment earnings</w:t>
      </w:r>
    </w:p>
    <w:p>
      <w:pPr>
        <w:spacing w:before="40" w:after="40"/>
        <w:ind w:left="283"/>
      </w:pPr>
      <w:r>
        <w:rPr>
          <w:rFonts w:ascii="Calibri" w:hAnsi="Calibri"/>
          <w:b/>
          <w:color w:val="4A6B25"/>
          <w:sz w:val="20"/>
        </w:rPr>
        <w:t xml:space="preserve">2. </w:t>
      </w:r>
      <w:r>
        <w:rPr>
          <w:rFonts w:ascii="Calibri" w:hAnsi="Calibri"/>
          <w:b w:val="0"/>
          <w:color w:val="3A4A28"/>
          <w:sz w:val="20"/>
        </w:rPr>
        <w:t>Webster acquisition synergies of $850M+ in cost savings realizing by 2027, driving double-digit profit growth in the U.S. segment and supporting the company's &gt;20% global RoTE target by 2028</w:t>
      </w:r>
    </w:p>
    <w:p>
      <w:pPr>
        <w:spacing w:before="40" w:after="40"/>
        <w:ind w:left="283"/>
      </w:pPr>
      <w:r>
        <w:rPr>
          <w:rFonts w:ascii="Calibri" w:hAnsi="Calibri"/>
          <w:b/>
          <w:color w:val="4A6B25"/>
          <w:sz w:val="20"/>
        </w:rPr>
        <w:t xml:space="preserve">3. </w:t>
      </w:r>
      <w:r>
        <w:rPr>
          <w:rFonts w:ascii="Calibri" w:hAnsi="Calibri"/>
          <w:b w:val="0"/>
          <w:color w:val="3A4A28"/>
          <w:sz w:val="20"/>
        </w:rPr>
        <w:t>European bank sector re-rating — Santander at 0.9x TBV trades at a structural discount to U.S. peers; any narrowing of this gap (which occurred in 2025) provides significant multiple expansion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economic deterioration or currency depreciation reducing the profitability of Santander's largest single-country profit contributor, which has historically accounted for 20-25% of group earnings</w:t>
      </w:r>
    </w:p>
    <w:p>
      <w:pPr>
        <w:spacing w:before="40" w:after="40"/>
        <w:ind w:left="283"/>
      </w:pPr>
      <w:r>
        <w:rPr>
          <w:rFonts w:ascii="Calibri" w:hAnsi="Calibri"/>
          <w:b/>
          <w:color w:val="4A6B25"/>
          <w:sz w:val="20"/>
        </w:rPr>
        <w:t xml:space="preserve">2. </w:t>
      </w:r>
      <w:r>
        <w:rPr>
          <w:rFonts w:ascii="Calibri" w:hAnsi="Calibri"/>
          <w:b w:val="0"/>
          <w:color w:val="3A4A28"/>
          <w:sz w:val="20"/>
        </w:rPr>
        <w:t>U.S. Webster Bank integration execution risk — integrating a $75B-asset bank while also delivering $850M in cost synergies and 150 new Texas branches creates significant management bandwidth and execution risk</w:t>
      </w:r>
    </w:p>
    <w:p>
      <w:pPr>
        <w:spacing w:before="40" w:after="40"/>
        <w:ind w:left="283"/>
      </w:pPr>
      <w:r>
        <w:rPr>
          <w:rFonts w:ascii="Calibri" w:hAnsi="Calibri"/>
          <w:b/>
          <w:color w:val="4A6B25"/>
          <w:sz w:val="20"/>
        </w:rPr>
        <w:t xml:space="preserve">3. </w:t>
      </w:r>
      <w:r>
        <w:rPr>
          <w:rFonts w:ascii="Calibri" w:hAnsi="Calibri"/>
          <w:b w:val="0"/>
          <w:color w:val="3A4A28"/>
          <w:sz w:val="20"/>
        </w:rPr>
        <w:t>European banking regulatory headwinds including potential capital buffer increases from the Basel IV implementation in 2026 that could require additional capital retention over shareholder distributions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Banking is partially exposed to AI disruption — AI is already replacing back-office processing, loan underwriting, and customer service functions at major banks including Santander itself[1]. However, Santander's diversification across 10 core markets, its regulatory moats, and its €1.7T in assets provide structural protection that purely software-based fintech challengers cannot quickly replicate. The bank is investing heavily in AI to drive efficiency rather than being disrupted from outside. The biggest AI threat is from AI-native challengers reducing fee income in payments and wealth management. Scores 6 on AI Risk Protection (protected core, with some exposed services layers) and 1 on AI Opportunity for AI revenue in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Banco Santander, '2025 Full-Year Results Press Release', santander.com,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'Banco Santander SA (SAN) Q3 2025 Earnings Call Highlights', October 2025</w:t>
      </w:r>
    </w:p>
    <w:p>
      <w:pPr>
        <w:spacing w:before="20" w:after="20"/>
        <w:ind w:left="170"/>
      </w:pPr>
      <w:r>
        <w:rPr>
          <w:rFonts w:ascii="Calibri" w:hAnsi="Calibri"/>
          <w:b/>
          <w:color w:val="4A6B25"/>
          <w:sz w:val="15"/>
        </w:rPr>
        <w:t xml:space="preserve">3. </w:t>
      </w:r>
      <w:r>
        <w:rPr>
          <w:rFonts w:ascii="Calibri" w:hAnsi="Calibri"/>
          <w:b w:val="0"/>
          <w:color w:val="3A4A28"/>
          <w:sz w:val="17"/>
        </w:rPr>
        <w:t>StockAnalysis.com, 'Banco Santander Revenue 2005-2025', March 2026</w:t>
      </w:r>
    </w:p>
    <w:p>
      <w:pPr>
        <w:spacing w:before="20" w:after="20"/>
        <w:ind w:left="170"/>
      </w:pPr>
      <w:r>
        <w:rPr>
          <w:rFonts w:ascii="Calibri" w:hAnsi="Calibri"/>
          <w:b/>
          <w:color w:val="4A6B25"/>
          <w:sz w:val="15"/>
        </w:rPr>
        <w:t xml:space="preserve">4. </w:t>
      </w:r>
      <w:r>
        <w:rPr>
          <w:rFonts w:ascii="Calibri" w:hAnsi="Calibri"/>
          <w:b w:val="0"/>
          <w:color w:val="3A4A28"/>
          <w:sz w:val="17"/>
        </w:rPr>
        <w:t>Santander 3Q 2025 Financial Report, santander.com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