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SARO</w:t>
      </w:r>
      <w:r>
        <w:rPr>
          <w:rFonts w:ascii="Calibri" w:hAnsi="Calibri"/>
          <w:b/>
          <w:color w:val="1A2010"/>
          <w:sz w:val="40"/>
        </w:rPr>
        <w:t xml:space="preserve">  StandardAero, Inc.</w:t>
      </w:r>
    </w:p>
    <w:p>
      <w:pPr>
        <w:spacing w:after="120"/>
      </w:pPr>
      <w:r>
        <w:rPr>
          <w:rFonts w:ascii="Calibri" w:hAnsi="Calibri"/>
          <w:b/>
          <w:color w:val="6E8450"/>
          <w:sz w:val="18"/>
        </w:rPr>
        <w:t>GROWTH SLEEVE · 2026-04-01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StandardAero is a leading independent aerospace engine aftermarket services provider offering MRO, on-wing support, asset management, and component repair for commercial, business, military, and helicopter aircraft. Founded in 1911, the company operates globally with capabilities spanning CFM56, LEAP, PT6, and other major engine platforms.</w:t>
      </w:r>
    </w:p>
    <w:p>
      <w:r>
        <w:rPr>
          <w:rFonts w:ascii="Calibri" w:hAnsi="Calibri"/>
          <w:b/>
          <w:color w:val="6E8450"/>
          <w:sz w:val="18"/>
        </w:rPr>
        <w:t>8,000 Employees · https://standardaero.com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StandardAero completed its NYSE IPO in October 2024, transitioning from Carlyle private equity ownership to a public company. Revenue grew 16% YoY to $6.06B in 2025 with adjusted EBITDA up 17%, but this represents scaling an existing MRO business rather than transformative innovation [1]. AI Deployment (0/2): No evidence of AI-powered products shipping to customers or quantified AI-driven cost savings. Glassdoor reviews explicitly note 'no room for innovation' and insufficient R&amp;D budget [2]. Market Share (2/2): StandardAero is the world's largest independent aerospace MRO provider, a category leader in engine aftermarket services with long-term exclusive contracts on major platforms including CFM56 and LEAP engines [1]. Pipeline (1/2): The LEAP engine MRO ramp is a significant growth driver with specific revenue visibility — management guides 10-12% core revenue growth in 2026 with $6.3-6.4B revenue target. Toyota/CFM56 programs provide multi-year revenue runway [1]. R&amp;D Intensity (1/1): Below industry average for pure R&amp;D, but the company invests heavily in technical capabilities, tooling, and certifications required for new engine program qualifications like LEAP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StandardAero's purpose centers on keeping aircraft engines running safely and efficiently — a clear, important mission but not deeply distinctive or transformative beyond the operational mandate of any aerospace MRO provider [1]. Community Impact (1/2): The company has published corporate sustainability reports, hired a dedicated VP of ESG, set net-zero carbon targets for 2050, and committed to modern slavery prevention across supply chains [3]. Employee Retention (1/2): Mixed signals — 8,000 employees with global operations and family-like culture among hourly workers, but Glassdoor reviews cite resistance to change, quarterly-focused executives, and limited innovation culture [2]. Insider Buying (1/2): CEO Russell Ford leads a recently public company with management equity from the Carlyle-era ownership transition; specific post-IPO insider buying data is limited but management has significant equity alignment from the IPO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StandardAero's financial profile is strong for an industrial MRO business. Revenue of $6.06B (up 16% YoY) with 2026 guidance of $6.3-6.4B demonstrates consistent growth driven by commercial aerospace aftermarket demand [1]. Forward P/E of 15.5x is attractive for a company guiding 18% EPS growth ($1.35-1.45 adjusted EPS). D/E of 92% is manageable with net leverage at 2.4x EBITDA, down from 3.1x post-IPO [1]. ROE of 11% and profit margin of 4.6% are below targets but typical for capital-intensive MRO businesses with thin margins on material pass-throughs. Free cash flow turned positive to $209M in 2025 from -$45M in 2024, with 2026 guide of $270-300M representing 36% growth [1]. Liquidity floor cleared: 4.6M avg volume × $26.25 = $120.7M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StandardAero has operated since 1911, demonstrating remarkable longevity through multiple ownership transitions and industry cycles. However, the recent Carlyle private equity era and October 2024 IPO suggest a more financially engineered path than a purpose-driven one. The company's durability is impressive, but Glassdoor reviews indicating executives focused on share price and quarterly metrics signal finite 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StandardAero's enduring purpose — keeping aircraft engines safe and operational — has sustained the company for 115 years across multiple ownership structures and industry transformations [1]. This longevity suggests a cause that transcends any individual leader. However, the transition from private equity (Carlyle) to public markets is often about financial returns rather than advancing a Just Cause. The purpose is real but more operational than aspirational.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evidence. Hourly workers describe a family-like culture and strong camaraderie on the shop floor [2]. However, Glassdoor reviews also note resistance to change, executives perceived as quarterly-focused, and a culture where innovation is not valued. The 8,000-employee global workforce has stability but the leadership trust scores are in the bottom 25% on Comparably [2].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StandardAero's leadership publicly acknowledging competitors' strengths or framing competition as motivation for self-improvement. The MRO industry is competitive with players like Lufthansa Technik, GE Aerospace, and MTU, but StandardAero's public communications focus on its own market position rather than learning from rivals [1].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StandardAero has evolved over 115 years from a small aviation services shop to the world's largest independent engine MRO provider, navigating multiple ownership transitions (most recently Carlyle → NYSE IPO in 2024) and expanding into new engine platforms like LEAP [1]. The business model has expanded from pure engine overhaul to component repair, asset management, and engineering solutions. These are incremental rather than transformative pivots.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is investing in LEAP and CFM56 program ramps that are near-term margin dilutive but position the company for long-term growth — guiding investors that these programs will be dilutive before becoming profitable later in 2026 [1]. The free cash flow turnaround from -$45M to $209M shows execution discipline. However, the private equity heritage suggests financial optimization over courageous long-term bets.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StandardAero is the world's largest independent aerospace engine MRO provider delivering strong financial results — 2025 revenue of $6.06B (up 16% YoY) with adjusted EBITDA up 17% and a dramatic free cash flow turnaround to $209M from -$45M in 2024 [1]. The 2026 guide is compelling: $6.3-6.4B revenue, $870-905M adjusted EBITDA, $1.35-1.45 EPS (18% growth at midpoint), and $270-300M free cash flow [1]. At 15.5x forward P/E, the stock is attractively valued for a business with long-term tailwinds — the aging global aircraft fleet drives structurally rising MRO demand, and StandardAero's exclusive positions on CFM56 and LEAP engines provide multi-decade revenue visibility. The LEAP program ramp alone could drive sustained double-digit growth as the installed base requires its first overhaul cycle.</w:t>
      </w:r>
    </w:p>
    <w:p>
      <w:pPr>
        <w:spacing w:after="120"/>
      </w:pPr>
      <w:r>
        <w:rPr>
          <w:rFonts w:ascii="Calibri" w:hAnsi="Calibri"/>
          <w:b w:val="0"/>
          <w:color w:val="3A4A28"/>
          <w:sz w:val="20"/>
        </w:rPr>
        <w:t>The bear case centers on margin compression and execution risk. Profit margin of 4.6% is thin even for MRO businesses, and the LEAP program ramp is margin-dilutive in 2026 before achieving profitability [1]. D/E of 92% and legacy Carlyle-era debt burden the balance sheet; net leverage of 2.4x EBITDA limits financial flexibility. Supply chain part delays continue to constrain throughput and tie up working capital, with full normalization potentially 12+ months away [1]. A December fire at the Phoenix CRS facility disrupted component repair operations. US government shutdown disrupted military maintenance revenue in Q4 2025 with spillover into Q1 2026 [1]. StandardAero's culture shows signs of resistance to innovation, with Glassdoor reviews noting quarterly-focused executives and limited R&amp;D investment [2]. The stock's post-IPO decline from ~$30 to $26 suggests the market is pricing in execution risk on the LEAP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LEAP engine program ramp reaching profitability in H2 2026, with the growing installed base driving decades of recurring MRO demand as first overhaul cycles begin [1]</w:t>
      </w:r>
    </w:p>
    <w:p>
      <w:pPr>
        <w:spacing w:before="40" w:after="40"/>
        <w:ind w:left="283"/>
      </w:pPr>
      <w:r>
        <w:rPr>
          <w:rFonts w:ascii="Calibri" w:hAnsi="Calibri"/>
          <w:b/>
          <w:color w:val="4A6B25"/>
          <w:sz w:val="20"/>
        </w:rPr>
        <w:t xml:space="preserve">2. </w:t>
      </w:r>
      <w:r>
        <w:rPr>
          <w:rFonts w:ascii="Calibri" w:hAnsi="Calibri"/>
          <w:b w:val="0"/>
          <w:color w:val="3A4A28"/>
          <w:sz w:val="20"/>
        </w:rPr>
        <w:t>Free cash flow accelerating to $270-300M in 2026 (36% growth), enabling debt reduction from 2.4x leverage and potential capital returns [1]</w:t>
      </w:r>
    </w:p>
    <w:p>
      <w:pPr>
        <w:spacing w:before="40" w:after="40"/>
        <w:ind w:left="283"/>
      </w:pPr>
      <w:r>
        <w:rPr>
          <w:rFonts w:ascii="Calibri" w:hAnsi="Calibri"/>
          <w:b/>
          <w:color w:val="4A6B25"/>
          <w:sz w:val="20"/>
        </w:rPr>
        <w:t xml:space="preserve">3. </w:t>
      </w:r>
      <w:r>
        <w:rPr>
          <w:rFonts w:ascii="Calibri" w:hAnsi="Calibri"/>
          <w:b w:val="0"/>
          <w:color w:val="3A4A28"/>
          <w:sz w:val="20"/>
        </w:rPr>
        <w:t>Commercial aerospace aftermarket structural tailwind — aging global fleet with deferred maintenance from COVID-era and supply chain constraints driving sustained MRO demand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Supply chain part delays constraining throughput and tying up working capital across the global network, with normalization potentially 12+ months away [1]</w:t>
      </w:r>
    </w:p>
    <w:p>
      <w:pPr>
        <w:spacing w:before="40" w:after="40"/>
        <w:ind w:left="283"/>
      </w:pPr>
      <w:r>
        <w:rPr>
          <w:rFonts w:ascii="Calibri" w:hAnsi="Calibri"/>
          <w:b/>
          <w:color w:val="4A6B25"/>
          <w:sz w:val="20"/>
        </w:rPr>
        <w:t xml:space="preserve">2. </w:t>
      </w:r>
      <w:r>
        <w:rPr>
          <w:rFonts w:ascii="Calibri" w:hAnsi="Calibri"/>
          <w:b w:val="0"/>
          <w:color w:val="3A4A28"/>
          <w:sz w:val="20"/>
        </w:rPr>
        <w:t>LEAP program margin dilution in H1 2026 — if the ramp to profitability is delayed, it could compress overall margins below guidance [1]</w:t>
      </w:r>
    </w:p>
    <w:p>
      <w:pPr>
        <w:spacing w:before="40" w:after="40"/>
        <w:ind w:left="283"/>
      </w:pPr>
      <w:r>
        <w:rPr>
          <w:rFonts w:ascii="Calibri" w:hAnsi="Calibri"/>
          <w:b/>
          <w:color w:val="4A6B25"/>
          <w:sz w:val="20"/>
        </w:rPr>
        <w:t xml:space="preserve">3. </w:t>
      </w:r>
      <w:r>
        <w:rPr>
          <w:rFonts w:ascii="Calibri" w:hAnsi="Calibri"/>
          <w:b w:val="0"/>
          <w:color w:val="3A4A28"/>
          <w:sz w:val="20"/>
        </w:rPr>
        <w:t>Thin 4.6% profit margin with 92% D/E ratio leaves limited buffer if aerospace aftermarket demand softens or a recession reduces flight hours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Aerospace engine MRO is inherently physical — tearing down, inspecting, repairing, and reassembling jet engines requires specialized facilities, FAA/EASA certifications, and hands-on skilled labor that AI cannot replace [1]. Regulatory requirements for engine maintenance create structural barriers to AI substitution. The core business of physically overhauling CFM56, LEAP, and PT6 engines is immune to AI displacement. Some back-office and diagnostic functions could benefit from AI-driven predictive maintenance, but this enhances rather than threatens the business [2]. AI Opportunity (0/1): No evidence of StandardAero generating revenue from AI-powered products or services. The company has not deployed AI tools with measurable results, and Glassdoor reviews suggest limited innovation culture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StandardAero Q4 &amp; FY2025 Earnings Release — $6.06B revenue, 16% growth, FY2026 guidance of $6.3-6.4B revenue, February 25,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(StandardAero); Comparably executive ratings; Seeking Alpha and Motley Fool earnings analysis, 2025-2026</w:t>
      </w:r>
    </w:p>
    <w:p>
      <w:pPr>
        <w:spacing w:before="20" w:after="20"/>
        <w:ind w:left="170"/>
      </w:pPr>
      <w:r>
        <w:rPr>
          <w:rFonts w:ascii="Calibri" w:hAnsi="Calibri"/>
          <w:b/>
          <w:color w:val="4A6B25"/>
          <w:sz w:val="15"/>
        </w:rPr>
        <w:t xml:space="preserve">3. </w:t>
      </w:r>
      <w:r>
        <w:rPr>
          <w:rFonts w:ascii="Calibri" w:hAnsi="Calibri"/>
          <w:b w:val="0"/>
          <w:color w:val="3A4A28"/>
          <w:sz w:val="17"/>
        </w:rPr>
        <w:t>StandardAero Corporate Sustainability Report 2025; LinkedIn ESG announcements; Modern Slavery Act statement,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SARO (StandardAero),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