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SATL</w:t>
      </w:r>
      <w:r>
        <w:rPr>
          <w:rFonts w:ascii="Calibri" w:hAnsi="Calibri"/>
          <w:b/>
          <w:color w:val="1A2010"/>
          <w:sz w:val="40"/>
        </w:rPr>
        <w:t xml:space="preserve">  Satellogic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Satellogic is a vertically integrated earth observation company that designs, manufactures, and operates a constellation of 19 sub-meter resolution satellites. The company provides high-resolution satellite imagery and data analytics for defense, intelligence, and commercial customers globally, with satellites produced for approximately $1.3 million each.</w:t>
      </w:r>
    </w:p>
    <w:p>
      <w:r>
        <w:rPr>
          <w:rFonts w:ascii="Calibri" w:hAnsi="Calibri"/>
          <w:b/>
          <w:color w:val="6E8450"/>
          <w:sz w:val="18"/>
        </w:rPr>
        <w:t>154 Employees · https://satellogic.com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Satellogic pioneered a vertically integrated, low-cost satellite manufacturing model producing sub-meter resolution satellites for ~$1.3M each — an order of magnitude cheaper than competitors — and operates a 19-satellite constellation [1]. AI Deployment (1/2): The planned Merlin Constellation is described as an 'AI-first global daily remapping system,' integrating AI directly into the imaging and analytics pipeline, with first launch targeted for October 2026 [1]. Market Share Leadership (2/2): Satellogic's cost advantage in satellite manufacturing and its pivot to U.S. defense and intelligence markets positions it uniquely at the intersection of commercial earth observation and national security applications [1]. Product Pipeline (2/2): The Merlin AI-first constellation (October 2026 launch), $80M CEIIA satellite contract, and expansion into defense contracts provide specific near-term milestones [1]. R&amp;D Intensity (0/1): R&amp;D spending as a percentage of revenue is high but reflects the company's pre-profitability stage rather than above-average innovation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Satellogic's vision of making global satellite imagery universally accessible is meaningful for environmental monitoring, disaster response, and national security, though commercial application dominates the narrative [1]. Community Impact (1/2): Earth observation capabilities support climate monitoring, disaster response, and agricultural planning, creating indirect positive community impact [1]. Employee Retention (1/2): With 154 employees, Satellogic maintains a lean technical team; the company has undergone cost reductions (25% decrease in operating cash burn) that may impact morale [1]. Insider Buying (0/2): The $35M January 2026 direct offering suggests ongoing capital needs rather than insider conviction at current levels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Satellogic remains unprofitable with severe financial metrics — ROE is -127.6%, profit margin is -27.0%, and forward P/E is -58.4 [1]. Revenue of $17.7M (up 38% YoY) is growing but still microscopic relative to the $918M market cap. D/E of 104.7% is elevated for a pre-profitability company. Net loss narrowed sharply to $4.8M from $116.3M, showing improvement, and $94.4M in cash provides runway [1]. Q4 revenue surged 94% to $6.2M, suggesting acceleration. Daily dollar volume of ~$64M passes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Satellogic's vision of democratizing earth observation through low-cost satellites shows infinite-game ambition, but the capital-intensive nature of space infrastructure and ongoing cash burn create finite survival pressures that dominate near-term strategy.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sub-meter satellite imagery universally accessible for environmental monitoring, disaster response, and national security represents a meaningful cause that extends beyond pure commercial value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Cost reductions and a lean 154-person team stretched across satellite design, manufacturing, and operations create resource constraints that may strain team capacity and morale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Satellogic competes against Planet Labs, Maxar, and BlackBridge, using cost advantage ($1.3M per satellite) as differentiation rather than matching larger rivals' constellation scale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pivot from broad commercial markets to U.S. defense and intelligence contracts, plus the AI-first Merlin constellation, demonstrate meaningful strategic evolution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a vertically integrated satellite company as a startup requires courage, but ongoing capital needs and the $35M January offering suggest the company is still proving its model rather than leading the industry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Satellogic represents a high-risk play on the rapidly growing earth observation market with a unique cost advantage — manufacturing satellites for ~$1.3M each versus $50M+ for competitors creates potential for profitable scale if revenue grows from its accelerating base ($17.7M in 2025, up 38% YoY, with Q4 surging 94%) [1]. The strategic pivot to U.S. defense/intelligence markets, $80M CEIIA contract, and AI-first Merlin constellation launching October 2026 provide specific catalysts. Net loss narrowed dramatically from $116.3M to $4.8M, showing a clear path toward profitability if revenue continues scaling. Cash of $94.4M plus the $35M January offering provides runway through the Merlin launch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Satellogic's persistent unprofitability — the $918M market cap is 52x TTM revenue for a company that has never been profitable [1]. D/E of 104.7% and negative ROE of -127.6% reflect the capital-intensive reality of space infrastructure. Revenue of $17.7M is growing but still tiny, and the $65.1M backlog may not convert at projected rates. Competition from Planet Labs (with 200+ satellites) and Maxar creates market share risk, and the defense pivot depends on winning competitive government contracts against established defense primes. The stock has already run significantly from its $1.26 low, and any Merlin launch delay would undermine the investment thesis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Merlin AI-first constellation first launch in October 2026 would validate next-generation technology and defense market positioning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Conversion of $65.1M backlog to revenue through 2026 should drive meaningful top-line growth toward analyst projections of $30.9M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U.S. defense and intelligence contract wins would validate the strategic pivot and provide recurring government revenue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of $17.7M against $918M market cap represents extreme valuation that requires sustained hypergrowth to justify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Merlin constellation launch delay or technical failure would undermine the AI-first technology thesis and defense market positioning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Planet Labs and established defense contractors with greater resources and government relationships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Satellogic's business requires physical satellite hardware, launch services, and constellation operations that AI cannot displace [1]. The satellite manufacturing and orbital infrastructure create substantial barriers to entry. However, AI-powered image analysis from competing data providers could commoditize the analytics layer. AI Opportunity (1/1): The Merlin AI-first constellation and AI-driven analytics pipeline demonstrate active AI deployment as a core differentiator in earth observation data services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Satellogic Q4 and Full Year 2025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Satellogic Investor Relations and Press Releases,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SATL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