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w:t>
      </w:r>
      <w:r>
        <w:rPr>
          <w:rFonts w:ascii="Calibri" w:hAnsi="Calibri"/>
          <w:b/>
          <w:color w:val="1A2010"/>
          <w:sz w:val="40"/>
        </w:rPr>
        <w:t xml:space="preserve">  Seabridge Gold Inc.</w:t>
      </w:r>
    </w:p>
    <w:p>
      <w:pPr>
        <w:spacing w:after="120"/>
      </w:pPr>
      <w:r>
        <w:rPr>
          <w:rFonts w:ascii="Calibri" w:hAnsi="Calibri"/>
          <w:b/>
          <w:color w:val="6E8450"/>
          <w:sz w:val="18"/>
        </w:rPr>
        <w:t>GROWTH SLEEVE · 2026-04-30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Seabridge Gold is a development-stage gold mining company focused on advancing one of the world's largest undeveloped gold-copper-silver projects, KSM (Kerr-Sulphurets-Mitchell) in British Columbia, Canada. The company holds 100% interest in several North American gold projects and pursues a strategy of growing gold reserves per share without dilutive equity raises.</w:t>
      </w:r>
    </w:p>
    <w:p>
      <w:r>
        <w:rPr>
          <w:rFonts w:ascii="Calibri" w:hAnsi="Calibri"/>
          <w:b/>
          <w:color w:val="6E8450"/>
          <w:sz w:val="18"/>
        </w:rPr>
        <w:t>https://www.seabridgegold.com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Seabridge's innovation lies in its unique 'acquire and advance' strategy — growing gold reserves per share through project acquisition rather than costly exploration — but this is a financial strategy, not a product innovation [1]. The company has not launched new products or completed meaningful business model transformations in the last 5 years; KSM has been in development since 2000 (0 points track record). No AI deployment or strategy is evident for a small exploration company (0 points). Seabridge holds one of the world's largest undeveloped gold-copper deposits at KSM with 47.3M oz Au measured and indicated, giving it category leadership in reserves (2 points market share) [1]. The Valor Gold spin-out and 2026 KSM partner search provide some pipeline visibility (1 point). R&amp;D spending is minimal — the company is an exploration/development outfit, not a technology company (0 points).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Seabridge's mission to 'provide shareholders with exceptional leverage to gold price by growing one of the largest gold resources in the world' is clear and specific to its strategy but does not articulate a broader purpose beyond shareholder value (2-point mission floor) [1]. CEO Rudi Fronk has co-founded and led the company since 1999 with a 100% Glassdoor CEO approval rating and 5.0/5 culture ratings, suggesting genuine alignment between leadership and the small team (1 point retention) [3]. The company has developed strong Indigenous partnerships with Nisga'a and Tahltan Nations and environmental stewardship programs including fish habitat compensation, showing community commitment (1 point community) [2][4]. Insider buying data shows Fronk has historically maintained significant personal ownership, though specific 2025-2026 transaction data is limited (1 point insider buying). Score: 2 + 1 + 1 + 1 =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Seabridge is a pre-revenue development-stage company with zero operating income and a CA$53.2M loss in the most recent fiscal year [1]. D/E of 53.3% is healthy relative to targets (1.0 score), but every other metric fails: ROE of -5.4% is below the 0% floor (0.0 score), forward P/E of -114.2x reflects ongoing losses (0.0 score), profit margin is 0% with no revenue (0.0 score), and PEG of 5.4 exceeds the 3.0 floor (0.0 score) [1]. Total debt of $600M against $126M cash, with free cash flow of -$210.6M, means the company has less than one year of cash runway at current burn rates. The stock is a leveraged bet on gold prices and KSM development success, not a financially sound operating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Seabridge has demonstrated remarkable patience in advancing KSM over 25+ years without rushing to production, reflecting infinite-game thinking at its core. However, the company's explicit mission of 'gold leverage for shareholders' is fundamentally a finite, financial-return-oriented cause rather than a purpose that transcends profit.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Seabridge's cause — growing gold reserves per share — is a sophisticated financial strategy but not a Just Cause in Sinek's framework. There is no articulated vision of a better future beyond shareholder returns. The 25-year commitment to developing KSM shows patience, but the purpose is wealth creation rather than service to a broader ideal (1 point of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small team shows strong indicators: Rudi Fronk's 100% CEO approval on Glassdoor, 5.0/5 culture ratings, and 51% female workforce demonstrate an inclusive, trusted work environment [3]. However, the company has minimal full-time employees — as a development-stage company, most work is contracted out. The small scale makes trust easier to maintain but less tested (1 point of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Seabridge operates in a space with clear competitors (Barrick, Newmont) but frames its strategy in terms of reserve growth differentiation rather than competitive destruction. Management focuses on its unique 'reserves per share' metric as self-improvement rather than beating rivals, but the competitive awareness is limited given the company's pre-production status (0 points of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planned Valor Gold spin-out demonstrates willingness to restructure the portfolio for strategic clarity. The company has also pivoted from pure exploration to development-stage advancement and partnership-seeking. However, these are incremental adaptations rather than transformative pivots — the core strategy of developing KSM has remained unchanged for 25 years (1 point of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Fronk's decision to maintain KSM through multiple gold price cycles without selling or diluting at unfavorable terms required genuine courage, particularly during the 2013-2015 gold bear market when many juniors collapsed or sold assets at distressed prices. The commitment to developing KSM partnership on favorable terms rather than rushing to dilutive financing shows long-term conviction (1 point of 2)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Seabridge Gold offers leveraged exposure to gold prices through ownership of KSM, one of the world's largest undeveloped gold-copper-silver deposits with 47.3M oz Au measured and indicated resources [1]. At $26.83 per share with a $2.88B market cap, the stock trades at roughly $61/oz of in-ground gold resource, well below the &gt;$3,000/oz spot price. The company's 2026 objectives include securing a KSM development partner, which would de-risk the project and potentially trigger a significant re-rating. The planned Valor Gold spin-out would unlock additional value from non-core assets. Gold's role as an inflation hedge and geopolitical safe haven provides macro tailwinds.</w:t>
      </w:r>
    </w:p>
    <w:p>
      <w:pPr>
        <w:spacing w:after="120"/>
      </w:pPr>
      <w:r>
        <w:rPr>
          <w:rFonts w:ascii="Calibri" w:hAnsi="Calibri"/>
          <w:b w:val="0"/>
          <w:color w:val="3A4A28"/>
          <w:sz w:val="20"/>
        </w:rPr>
        <w:t>The bear case is severe for a pre-revenue company burning $210M/year in free cash flow with less than one year of cash runway at $126M in cash against $600M in debt [1]. KSM permitting faces delays due to the Tudor Gold legal dispute over the Mitchell Treaty Tunnels, creating regulatory uncertainty in British Columbia [4]. Finding a development partner willing to commit billions to KSM has proven elusive over multiple years. The stock's beta of 1.82 means it amplifies gold price moves in both directions. If gold prices retreat from current highs or the partner search fails, Seabridge may need dilutive equity raises that would destroy the core 'reserves per share' thesis. The company has generated zero revenue in its 27-year history.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KSM development partner announcement expected in 2026 would de-risk the multi-billion-dollar project and validate the company's 25-year development strategy [1]</w:t>
      </w:r>
    </w:p>
    <w:p>
      <w:pPr>
        <w:spacing w:before="40" w:after="40"/>
        <w:ind w:left="283"/>
      </w:pPr>
      <w:r>
        <w:rPr>
          <w:rFonts w:ascii="Calibri" w:hAnsi="Calibri"/>
          <w:b/>
          <w:color w:val="4A6B25"/>
          <w:sz w:val="20"/>
        </w:rPr>
        <w:t xml:space="preserve">2. </w:t>
      </w:r>
      <w:r>
        <w:rPr>
          <w:rFonts w:ascii="Calibri" w:hAnsi="Calibri"/>
          <w:b w:val="0"/>
          <w:color w:val="3A4A28"/>
          <w:sz w:val="20"/>
        </w:rPr>
        <w:t>Valor Gold spin-out planned for 2026 would separate non-core assets, providing shareholders with pure-play KSM exposure and unlocking embedded value</w:t>
      </w:r>
    </w:p>
    <w:p>
      <w:pPr>
        <w:spacing w:before="40" w:after="40"/>
        <w:ind w:left="283"/>
      </w:pPr>
      <w:r>
        <w:rPr>
          <w:rFonts w:ascii="Calibri" w:hAnsi="Calibri"/>
          <w:b/>
          <w:color w:val="4A6B25"/>
          <w:sz w:val="20"/>
        </w:rPr>
        <w:t xml:space="preserve">3. </w:t>
      </w:r>
      <w:r>
        <w:rPr>
          <w:rFonts w:ascii="Calibri" w:hAnsi="Calibri"/>
          <w:b w:val="0"/>
          <w:color w:val="3A4A28"/>
          <w:sz w:val="20"/>
        </w:rPr>
        <w:t>Gold prices above $3,000/oz provide strongest-ever macro backdrop for advancing a project with 47.3M oz of measured and indicated gold resources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Less than one year of cash runway at current burn rate ($126M cash vs. -$210M annual FCF) creates near-term dilution risk through equity raises or unfavorable partnership terms [1]</w:t>
      </w:r>
    </w:p>
    <w:p>
      <w:pPr>
        <w:spacing w:before="40" w:after="40"/>
        <w:ind w:left="283"/>
      </w:pPr>
      <w:r>
        <w:rPr>
          <w:rFonts w:ascii="Calibri" w:hAnsi="Calibri"/>
          <w:b/>
          <w:color w:val="4A6B25"/>
          <w:sz w:val="20"/>
        </w:rPr>
        <w:t xml:space="preserve">2. </w:t>
      </w:r>
      <w:r>
        <w:rPr>
          <w:rFonts w:ascii="Calibri" w:hAnsi="Calibri"/>
          <w:b w:val="0"/>
          <w:color w:val="3A4A28"/>
          <w:sz w:val="20"/>
        </w:rPr>
        <w:t>Tudor Gold legal dispute over Mitchell Treaty Tunnels has delayed key permit amendments in British Columbia, creating regulatory timeline uncertainty for KSM [4]</w:t>
      </w:r>
    </w:p>
    <w:p>
      <w:pPr>
        <w:spacing w:before="40" w:after="40"/>
        <w:ind w:left="283"/>
      </w:pPr>
      <w:r>
        <w:rPr>
          <w:rFonts w:ascii="Calibri" w:hAnsi="Calibri"/>
          <w:b/>
          <w:color w:val="4A6B25"/>
          <w:sz w:val="20"/>
        </w:rPr>
        <w:t xml:space="preserve">3. </w:t>
      </w:r>
      <w:r>
        <w:rPr>
          <w:rFonts w:ascii="Calibri" w:hAnsi="Calibri"/>
          <w:b w:val="0"/>
          <w:color w:val="3A4A28"/>
          <w:sz w:val="20"/>
        </w:rPr>
        <w:t>27 years as a pre-revenue company with zero production history — any gold price correction to $2,000-2,500/oz would severely compress the stock's premium-to-NAV valuation and raise existential funding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 mining and exploration is structurally immune to AI disruption. AI cannot replace physical gold deposits, mineral extraction, or geological exploration — the core value proposition is owning in-ground resources that require physical-world operations to develop [1]. If anything, AI may modestly enhance exploration efficiency through geological modeling and ore body analysis, but this is a minor operational benefit rather than a transformative threat or opportunity. No analyst has flagged AI as a risk to gold mining companies. Seabridge earns 8 points on AI Risk Protection (IMMUNE — physical resource ownership). The company generates no revenue from AI-related products or services (0 points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Seabridge Gold Year End Update and 2026 Objectives, January 2026</w:t>
      </w:r>
    </w:p>
    <w:p>
      <w:pPr>
        <w:spacing w:before="20" w:after="20"/>
        <w:ind w:left="170"/>
      </w:pPr>
      <w:r>
        <w:rPr>
          <w:rFonts w:ascii="Calibri" w:hAnsi="Calibri"/>
          <w:b/>
          <w:color w:val="4A6B25"/>
          <w:sz w:val="15"/>
        </w:rPr>
        <w:t xml:space="preserve">2. </w:t>
      </w:r>
      <w:r>
        <w:rPr>
          <w:rFonts w:ascii="Calibri" w:hAnsi="Calibri"/>
          <w:b w:val="0"/>
          <w:color w:val="3A4A28"/>
          <w:sz w:val="17"/>
        </w:rPr>
        <w:t>Seabridge Gold Corporate Website — Company and ESG pages,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 Seabridge Gold Employee Reviews and CEO Rating,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Seabridge Gold Permit and Legal Updates — KSM Mitchell Treaty Tunnels,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