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SBET</w:t>
      </w:r>
      <w:r>
        <w:rPr>
          <w:rFonts w:ascii="Calibri" w:hAnsi="Calibri"/>
          <w:b/>
          <w:color w:val="1A2010"/>
          <w:sz w:val="40"/>
        </w:rPr>
        <w:t xml:space="preserve">  SharpLink, Inc.</w:t>
      </w:r>
    </w:p>
    <w:p>
      <w:pPr>
        <w:spacing w:after="120"/>
      </w:pPr>
      <w:r>
        <w:rPr>
          <w:rFonts w:ascii="Calibri" w:hAnsi="Calibri"/>
          <w:b/>
          <w:color w:val="6E8450"/>
          <w:sz w:val="18"/>
        </w:rPr>
        <w:t>GROWTH SLEEVE · 2026-03-28 · Inspire: 35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Capital Markets · NASDAQ · United States</w:t>
      </w:r>
    </w:p>
    <w:p>
      <w:pPr>
        <w:spacing w:after="80"/>
      </w:pPr>
      <w:r>
        <w:rPr>
          <w:rFonts w:ascii="Calibri" w:hAnsi="Calibri"/>
          <w:b w:val="0"/>
          <w:color w:val="3A4A28"/>
          <w:sz w:val="20"/>
        </w:rPr>
        <w:t>SharpLink, Inc. (formerly SharpLink Gaming) is a Nasdaq-listed company operating as an institutional-grade Ethereum treasury platform and sports betting affiliate marketing technology provider. The company holds approximately 868,699 ETH (~$1.72B) and provides AI-powered personalization tools (BetSense) for sportsbook operators. SharpLink rebranded in February 2026 to reflect its dual focus on digital asset treasury management and sports technology.</w:t>
      </w:r>
    </w:p>
    <w:p>
      <w:r>
        <w:rPr>
          <w:rFonts w:ascii="Calibri" w:hAnsi="Calibri"/>
          <w:b/>
          <w:color w:val="6E8450"/>
          <w:sz w:val="18"/>
        </w:rPr>
        <w:t>https://www.sharplink.com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SharpLink pivoted from a small sports betting affiliate marketing company ($3.7M revenue in 2024) to an Ethereum treasury platform, raising $3.2B in capital and accumulating 868,699 ETH [1]. Revenue surged to $28.1M in 2025 (up 660%), but the $734.6M net loss (driven by unrealized ETH losses/impairments) undermines the narrative of successful transformation. AI Deployment (1/2): SharpLink's BetSense platform uses generative AI-powered recommendation engine (C4) to personalize sports betting content, surfacing relevant bets based on behavioral data and betting preferences [2]. The technology is deployed with sportsbook partners across 21 US states and Ontario. Market Share (1/2): SharpLink achieved licensing in 21 US states and Ontario covering 98% of the North American online sports betting market for its affiliate marketing platform [2]. However, this is a niche technology layer, not a dominant market position. Pipeline (0/2): No specific next-generation products announced with clear timelines. The ETH treasury strategy is a financial position, not a product pipeline. BetSense evolution is incremental. R&amp;D Intensity (1/1): Investment in AI-powered BetSense personalization and C4 recommendation engine demonstrates meaningful technology development relative to company size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CEO Rob Phythian emphasizes 'enduring shareholder value' and notes 'at the root of our success is our people' with values of 'tenacity, talent, integrity and shared commitment to high standards' [2]. This is generic corporate language focused on shareholder returns rather than a distinctive purpose. The Ethereum advocacy mission is a financial strategy, not a cause. Community Impact (0/2): No evidence of charitable giving, community programs, or social investment beyond general CSR claims. The primary business activities (crypto treasury, sports betting affiliate marketing) do not inherently serve community needs. Employee Retention (1/2): CEO Phythian's shareholder letter explicitly prioritizes employee culture and attributes success to the team [2]. The leadership team has 100+ years combined experience in sports technology. However, the co-CEO transition (Phythian to President, Chalom as Co-CEO) and name change suggest organizational flux. Insider Buying (1/2): Joseph Lubin (Ethereum co-founder, Consensys CEO) joined as Board Chairman, and the $425M Consensys-led investment demonstrates significant insider conviction in the ETH treasury strategy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SharpLink's financial profile is dominated by its Ethereum treasury — 868,699 ETH valued at ~$1.72B as of February 2026 [1]. Revenue grew from $3.7M to $28.1M (660% YoY) driven by ETH staking income (13,615 ETH in staking rewards since June 2025) and affiliate marketing [1]. Forward P/E of 3.04x is extremely low, suggesting analysts expect significant profitability improvement. However, the $734.6M net loss reflects massive unrealized ETH impairments, and ROE is deeply negative at -60.7% [3]. The company raised $3.2B in capital, diluting shareholders significantly. Cash of $28.5M plus $1.9M USDC provides near-term liquidity, but the business model is essentially an ETH holding company with a sports betting technology appendage. Institutional ownership reached 46%, providing some validation [1]. Liquidity floor cleared: 7.11M avg vol × $6.04 = $42.96M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SharpLink exhibits classic finite-game behavior — pivoting from sports betting technology to an Ethereum treasury company in pursuit of whatever the market is valuing most. The serial transformations, massive capital raises, and unrealized losses suggest a company playing to win this cycle rather than building enduring capability.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SharpLink has no coherent Just Cause. The company has pivoted from fantasy sports to sports betting affiliate marketing to Ethereum treasury platform within a few years [2]. Each pivot chases market trends (DFS → sports betting legalization → crypto). CEO Phythian's letters emphasize shareholder value and ETH per share metrics — these are financial goals, not a vision of a better future. Adding Ethereum co-founder Joseph Lubin as Chairman is a credibility play, not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Phythian's shareholder letter explicitly values employees and attributes success to the team [2]. The leadership team's 100+ years combined sports technology experience provides institutional knowledge. However, the co-CEO transition (adding Chalom from BlackRock while Phythian moves to President) and corporate rebranding signal organizational change that could disrupt team dynamics.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humility or learning from rivals. SharpLink positions itself as a pioneer in ETH treasury strategy for public companies, comparing itself to MicroStrategy's Bitcoin approach rather than acknowledging limitations or learning from competitors in either crypto treasury or sports betting technology.</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SharpLink's pivot from sports betting to ETH treasury might appear flexible, but it lacks cause-driven motivation [2]. The company raised $3.2B in capital to buy Ethereum — this is a financial bet, not a strategic transformation in service of a Just Cause. Sinek would view this as existential flailing rather than existential flexibility, driven by market opportunity rather than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investment that sacrifices short-term results for enduring capability. The $3.2B capital raise to buy Ethereum was bold in scale but is essentially a leveraged bet on a volatile asset class, not a principled long-term investment in the company's core competency [1]. The $734.6M net loss in 2025 demonstrates the risk of this approach.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SharpLink offers a unique dual exposure to Ethereum appreciation and AI-powered sports betting technology. The company holds 868,699 ETH (~$1.72B), making it one of the largest public Ethereum holders, with 13,615 ETH in staking rewards generated since June 2025 [1]. The $425M Consensys-led investment and Joseph Lubin (Ethereum co-founder) as Board Chairman provide institutional credibility. Revenue surged 660% to $28.1M in 2025, institutional ownership reached 46%, and the forward P/E of 3.04x suggests analysts expect meaningful profitability [1]. The BetSense AI personalization platform, licensed in 21 US states covering 98% of the North American sports betting market, provides a technology revenue stream independent of crypto volatility [2].</w:t>
      </w:r>
    </w:p>
    <w:p>
      <w:pPr>
        <w:spacing w:after="120"/>
      </w:pPr>
      <w:r>
        <w:rPr>
          <w:rFonts w:ascii="Calibri" w:hAnsi="Calibri"/>
          <w:b w:val="0"/>
          <w:color w:val="3A4A28"/>
          <w:sz w:val="20"/>
        </w:rPr>
        <w:t>The bear case is substantial. SharpLink posted a $734.6M net loss in 2025, driven by unrealized ETH impairments, demonstrating the extreme volatility of the treasury strategy [1]. The $3.2B in capital raised to buy Ethereum represents massive shareholder dilution, and the entire investment thesis depends on ETH price appreciation — if Ethereum declines significantly, the company's asset base and equity value collapse. The sports betting affiliate marketing business generated declining revenue before the crypto pivot, raising questions about the core business viability. ROE is -60.7% and trailing profit margin is deeply negative [3]. The corporate identity crisis — sports betting company → crypto treasury → rebranded as 'Sharplink, Inc.' — suggests a company without strategic conviction. No ISS governance ratings exist, and the co-CEO structure with frequent leadership changes adds governance risk. The entire value proposition is essentially a leveraged ETH ETF with a sports betting sidecar.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appreciation driving mark-to-market gains on 868,699 ETH holdings (~$1.72B at current prices), with staking rewards compounding at 13,615 ETH since June 2025 [1]</w:t>
      </w:r>
    </w:p>
    <w:p>
      <w:pPr>
        <w:spacing w:before="40" w:after="40"/>
        <w:ind w:left="283"/>
      </w:pPr>
      <w:r>
        <w:rPr>
          <w:rFonts w:ascii="Calibri" w:hAnsi="Calibri"/>
          <w:b/>
          <w:color w:val="4A6B25"/>
          <w:sz w:val="20"/>
        </w:rPr>
        <w:t xml:space="preserve">2. </w:t>
      </w:r>
      <w:r>
        <w:rPr>
          <w:rFonts w:ascii="Calibri" w:hAnsi="Calibri"/>
          <w:b w:val="0"/>
          <w:color w:val="3A4A28"/>
          <w:sz w:val="20"/>
        </w:rPr>
        <w:t>BetSense AI personalization platform expansion across 21 licensed US states, with the C4 generative AI recommendation engine potentially increasing sportsbook conversion rates [2]</w:t>
      </w:r>
    </w:p>
    <w:p>
      <w:pPr>
        <w:spacing w:before="40" w:after="40"/>
        <w:ind w:left="283"/>
      </w:pPr>
      <w:r>
        <w:rPr>
          <w:rFonts w:ascii="Calibri" w:hAnsi="Calibri"/>
          <w:b/>
          <w:color w:val="4A6B25"/>
          <w:sz w:val="20"/>
        </w:rPr>
        <w:t xml:space="preserve">3. </w:t>
      </w:r>
      <w:r>
        <w:rPr>
          <w:rFonts w:ascii="Calibri" w:hAnsi="Calibri"/>
          <w:b w:val="0"/>
          <w:color w:val="3A4A28"/>
          <w:sz w:val="20"/>
        </w:rPr>
        <w:t>Growing institutional ownership (46% as of Q4 2025, with ~60 new institutions added in Q4) validating the ETH treasury model and potentially driving share price appreciation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Ethereum price collapse risk — the company's $1.72B ETH position is subject to extreme cryptocurrency volatility, and a repeat of the 2022 crypto winter could trigger catastrophic losses [1]</w:t>
      </w:r>
    </w:p>
    <w:p>
      <w:pPr>
        <w:spacing w:before="40" w:after="40"/>
        <w:ind w:left="283"/>
      </w:pPr>
      <w:r>
        <w:rPr>
          <w:rFonts w:ascii="Calibri" w:hAnsi="Calibri"/>
          <w:b/>
          <w:color w:val="4A6B25"/>
          <w:sz w:val="20"/>
        </w:rPr>
        <w:t xml:space="preserve">2. </w:t>
      </w:r>
      <w:r>
        <w:rPr>
          <w:rFonts w:ascii="Calibri" w:hAnsi="Calibri"/>
          <w:b w:val="0"/>
          <w:color w:val="3A4A28"/>
          <w:sz w:val="20"/>
        </w:rPr>
        <w:t>Massive shareholder dilution — $3.2B in capital raised to fund ETH purchases has dramatically diluted existing shareholders, with ETH per share of 4.01 requiring sustained ETH appreciation to justify [1]</w:t>
      </w:r>
    </w:p>
    <w:p>
      <w:pPr>
        <w:spacing w:before="40" w:after="40"/>
        <w:ind w:left="283"/>
      </w:pPr>
      <w:r>
        <w:rPr>
          <w:rFonts w:ascii="Calibri" w:hAnsi="Calibri"/>
          <w:b/>
          <w:color w:val="4A6B25"/>
          <w:sz w:val="20"/>
        </w:rPr>
        <w:t xml:space="preserve">3. </w:t>
      </w:r>
      <w:r>
        <w:rPr>
          <w:rFonts w:ascii="Calibri" w:hAnsi="Calibri"/>
          <w:b w:val="0"/>
          <w:color w:val="3A4A28"/>
          <w:sz w:val="20"/>
        </w:rPr>
        <w:t>Strategic identity crisis — the pivot from sports betting to ETH treasury obscures the company's core competency, with no clear path to sustainable operating profitability independent of crypto market conditions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(4/9): SharpLink's business is split between two AI-exposed segments. The affiliate marketing/BetSense business faces moderate AI disruption risk — AI-powered recommendation engines could be replicated by larger sportsbook operators building in-house personalization, reducing demand for SharpLink's middleware [2]. The ETH treasury segment is not directly threatened by AI but is exposed to broader cryptocurrency market volatility and regulatory risk. The company is neither immune to nor protected from AI disruption; it's a participant in AI-driven sports tech but lacks deep defensive moats. AI Opportunity (1/1): SharpLink generates meaningful AI-related revenue through its BetSense generative AI-powered personalization platform, which converts sports content consumers into paying bettors across 21 US states [2]. The C4 recommendation engine is a shipping AI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SharpLink FY2025 Earnings Release, Benzinga — $28.1M revenue, $734.6M net loss, 868,699 ETH held, institutional ownership 46%, March 2026</w:t>
      </w:r>
    </w:p>
    <w:p>
      <w:pPr>
        <w:spacing w:before="20" w:after="20"/>
        <w:ind w:left="170"/>
      </w:pPr>
      <w:r>
        <w:rPr>
          <w:rFonts w:ascii="Calibri" w:hAnsi="Calibri"/>
          <w:b/>
          <w:color w:val="4A6B25"/>
          <w:sz w:val="15"/>
        </w:rPr>
        <w:t xml:space="preserve">2. </w:t>
      </w:r>
      <w:r>
        <w:rPr>
          <w:rFonts w:ascii="Calibri" w:hAnsi="Calibri"/>
          <w:b w:val="0"/>
          <w:color w:val="3A4A28"/>
          <w:sz w:val="17"/>
        </w:rPr>
        <w:t>Nasdaq, Quiver Quantitative, SharpLink corporate — BetSense AI platform, CEO Phythian, Consensys investment, Joseph Lubin chairmanship,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SBET, retrieved March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