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SBLK</w:t>
      </w:r>
      <w:r>
        <w:rPr>
          <w:rFonts w:ascii="Calibri" w:hAnsi="Calibri"/>
          <w:b/>
          <w:color w:val="1A2010"/>
          <w:sz w:val="40"/>
        </w:rPr>
        <w:t xml:space="preserve">  Star Bulk Carriers Corp.</w:t>
      </w:r>
    </w:p>
    <w:p>
      <w:pPr>
        <w:spacing w:after="120"/>
      </w:pPr>
      <w:r>
        <w:rPr>
          <w:rFonts w:ascii="Calibri" w:hAnsi="Calibri"/>
          <w:b/>
          <w:color w:val="6E8450"/>
          <w:sz w:val="18"/>
        </w:rPr>
        <w:t>DIVIDEND SLEEVE · 2026-04-23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Star Bulk Carriers Corp. engages in the ocean transportation of dry bulk cargoes through the ownership and operation of dry bulk carrier vessels worldwide. The company's fleet transports iron ore, coal, grains, bauxite, fertilizers, and steel products. Star Bulk merged with Eagle Bulk Shipping in 2024, creating one of the largest publicly traded dry bulk fleets globally.</w:t>
      </w:r>
    </w:p>
    <w:p>
      <w:r>
        <w:rPr>
          <w:rFonts w:ascii="Calibri" w:hAnsi="Calibri"/>
          <w:b/>
          <w:color w:val="6E8450"/>
          <w:sz w:val="18"/>
        </w:rPr>
        <w:t>294 Employees · https://www.starbulk.com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2024 merger with Eagle Bulk Shipping created one of the largest publicly traded dry bulk fleets, representing a meaningful consolidation play, but dry bulk shipping remains a commodity business with limited product innovation [1]. AI Deployment (0/2): No evidence of AI-powered products, services, or quantified AI-driven cost savings. The company operates conventional bulk carrier vessels with standard maritime technology [2]. Market Share (1/2): Star Bulk is among the largest publicly listed dry bulk carriers globally post-Eagle Bulk merger, though market share in the fragmented global shipping industry remains modest relative to state-owned fleets and private operators [1]. Pipeline (1/2): Management has positioned the fleet to benefit from extended voyage times due to Red Sea/Suez Canal disruptions, and the company maintains a modern fleet with visibility into charter rates, though no next-generation products exist in commodity shipping [1]. R&amp;D Intensity (1/1): The company publishes annual ESG reports with emissions reduction initiatives and was the first dry bulk company worldwide to undergo a Dry-BMSA audit with RightShip, demonstrating above-average operational innovation for the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Star Bulk's corporate communications focus on operational efficiency, shareholder returns, and fleet management -- standard shipping industry language without a distinctive purpose beyond reliable cargo transportation. No transformative mission statement is evident on the company website or public materials. Community Impact (1/2): The company published its seventh annual ESG report in 2024, developed in accordance with GRI and SASB standards, measuring Scope 3 emissions and establishing an ESG Committee at the Board level [3]. However, no significant charitable programs or community investment beyond standard corporate ESG compliance was identified. Employee Retention (1/2): Management team averages 10.8 years tenure under CEO Petros Pappas (appointed 2014), suggesting organizational stability, though the company has only 294 employees reflecting its asset-heavy, crew-outsourced model [2]. Insider Buying (1/2): CEO Pappas has been involved in approximately 300 vessel transactions throughout his career, demonstrating deep industry commitment, though specific recent insider buying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 Bulk's financial profile reflects the cyclical nature of dry bulk shipping. D/E of 50.2% is conservative for the capital-intensive shipping industry, providing balance sheet flexibility [4]. However, ROE of 3.4% and profit margin of 8.1% are depressed reflecting the weak freight rate environment, down sharply from 24.7% net margin in the prior year [1]. Revenue declined 2.7% YoY to $1.04B, and the 3-year revenue CAGR of -10.1% reflects the cyclical peak-to-trough pattern characteristic of bulk shipping [4]. Forward P/E of 6.6x reflects market skepticism about earnings sustainability, though forward EPS of $3.75 (vs. trailing $0.73) suggests analysts expect a significant rate recovery [4]. Dividend payout ratio of 41.1% is sustainable, and the company has paid dividends for 8 consecutive years (since 2019 restart), but dividend per share has declined dramatically from $2.50+ in 2022 to $0.37 most recently [4]. Liquidity floor cleared: 1.52M avg vol x $24.83 = $37.6M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Star Bulk under CEO Pappas operates with the pragmatic, cyclically-aware mindset typical of experienced shipping operators -- focused on fleet optimization, balance sheet discipline, and returning cash to shareholders during strong markets. This is competent finite game execution within a cyclical industry, not a transformative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 Bulk's corporate communications center on fleet management, shareholder returns, and operational efficiency -- standard shipping industry language that articulates no vision beyond being a well-run dry bulk carrier. There is no Just Cause evident; the company exists to profit from global trade flows. Score: 1 point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Pappas's 10+ year tenure and the management team's 10.8-year average tenure demonstrate organizational stability. The company's small onshore team of 294 employees and long-tenured leadership suggest adequate trust, though the crew-outsourced operating model makes broader organizational trust assessment difficult. Score: 1 point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dry bulk shipping industry is inherently competitive and commodity-driven, with limited differentiation. Star Bulk's competitive strategy -- fleet consolidation through the Eagle Bulk merger -- focuses on scale advantages and market share rather than self-improvement through rivalry. No evidence of management referencing competitors' strengths as learning opportunities. Score: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Eagle Bulk merger in 2024 represents a significant strategic evolution, transforming Star Bulk into one of the largest publicly listed dry bulk fleets. The company has also invested in ESG reporting and emissions reduction initiatives, adapting to evolving regulatory and investor requirements. However, the core business model remains unchanged: owning and operating bulk carriers. Score: 1 point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that sacrifice short-term performance. The variable dividend policy (paying out earnings when rates are high, cutting when they're low) is financially rational but not courageous -- it's cyclical management. The Eagle Bulk acquisition was executed from a position of strength, not a risky long-term bet against market sentiment. Score: 0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 Bulk Carriers is one of the largest publicly traded dry bulk shipping companies, operating a diversified fleet following the 2024 Eagle Bulk merger. The stock trades at 6.6x forward P/E with analysts projecting EPS of $3.75 (vs. trailing $0.73), implying a significant earnings recovery driven by tightening vessel supply, extended voyage times from Red Sea disruptions, and improving demand from China's infrastructure stimulus [1][4]. D/E of 50.2% is conservative for shipping, providing balance sheet flexibility to weather cyclical troughs, and the company has maintained dividend payments for 8 consecutive years [4]. The 2.3% current dividend yield, while reduced from historical levels, reflects management's commitment to returning cash to shareholders while preserving capital for fleet renewal.</w:t>
      </w:r>
    </w:p>
    <w:p>
      <w:pPr>
        <w:spacing w:after="120"/>
      </w:pPr>
      <w:r>
        <w:rPr>
          <w:rFonts w:ascii="Calibri" w:hAnsi="Calibri"/>
          <w:b w:val="0"/>
          <w:color w:val="3A4A28"/>
          <w:sz w:val="20"/>
        </w:rPr>
        <w:t>The bear case reflects dry bulk shipping's inherent cyclicality and margin fragility. Profit margin compressed to 8.1% from 24.7% year-over-year, and revenue declined 2.7% to $1.04B, demonstrating the speed with which freight rate deterioration flows through to earnings [1][4]. ROE of just 3.4% is inadequate for the capital deployed in the business. The 3-year revenue CAGR of -10.1% reflects the cyclical peak in 2022 that may not be repeated for years. Dividends per share have declined from $2.50+ in 2022 to $0.37, making the historical 5-year average dividend yield of 15% misleading for new investors [4]. The forward earnings recovery ($3.75 EPS) depends on freight rate improvements that are uncertain given global trade policy risk, potential China slowdown, and environmental regulations (EU ETS, IMO 2030) that could increase operating costs for older vessels. The company has zero pricing power -- it is a price-taker in a globally commoditized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EPS of $3.75 vs. trailing $0.73 implies analysts expect a major freight rate recovery, which would drive dividend increases and multiple re-rating [4]</w:t>
      </w:r>
    </w:p>
    <w:p>
      <w:pPr>
        <w:spacing w:before="40" w:after="40"/>
        <w:ind w:left="283"/>
      </w:pPr>
      <w:r>
        <w:rPr>
          <w:rFonts w:ascii="Calibri" w:hAnsi="Calibri"/>
          <w:b/>
          <w:color w:val="4A6B25"/>
          <w:sz w:val="20"/>
        </w:rPr>
        <w:t xml:space="preserve">2. </w:t>
      </w:r>
      <w:r>
        <w:rPr>
          <w:rFonts w:ascii="Calibri" w:hAnsi="Calibri"/>
          <w:b w:val="0"/>
          <w:color w:val="3A4A28"/>
          <w:sz w:val="20"/>
        </w:rPr>
        <w:t>Red Sea/Suez Canal disruptions extending voyage times and effectively reducing global fleet supply, supporting higher charter rates [1]</w:t>
      </w:r>
    </w:p>
    <w:p>
      <w:pPr>
        <w:spacing w:before="40" w:after="40"/>
        <w:ind w:left="283"/>
      </w:pPr>
      <w:r>
        <w:rPr>
          <w:rFonts w:ascii="Calibri" w:hAnsi="Calibri"/>
          <w:b/>
          <w:color w:val="4A6B25"/>
          <w:sz w:val="20"/>
        </w:rPr>
        <w:t xml:space="preserve">3. </w:t>
      </w:r>
      <w:r>
        <w:rPr>
          <w:rFonts w:ascii="Calibri" w:hAnsi="Calibri"/>
          <w:b w:val="0"/>
          <w:color w:val="3A4A28"/>
          <w:sz w:val="20"/>
        </w:rPr>
        <w:t>Post-Eagle Bulk merger fleet synergies and scale advantages expected to reduce per-vessel operating costs and improve fleet utilization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Dry bulk shipping is a commodity cycle business with zero pricing power -- freight rates are driven entirely by global supply/demand dynamics beyond management control [1]</w:t>
      </w:r>
    </w:p>
    <w:p>
      <w:pPr>
        <w:spacing w:before="40" w:after="40"/>
        <w:ind w:left="283"/>
      </w:pPr>
      <w:r>
        <w:rPr>
          <w:rFonts w:ascii="Calibri" w:hAnsi="Calibri"/>
          <w:b/>
          <w:color w:val="4A6B25"/>
          <w:sz w:val="20"/>
        </w:rPr>
        <w:t xml:space="preserve">2. </w:t>
      </w:r>
      <w:r>
        <w:rPr>
          <w:rFonts w:ascii="Calibri" w:hAnsi="Calibri"/>
          <w:b w:val="0"/>
          <w:color w:val="3A4A28"/>
          <w:sz w:val="20"/>
        </w:rPr>
        <w:t>Dividend per share declined from $2.50+ (2022) to $0.37, and the variable payout policy means dividends could be cut further if rate recovery fails to materialize [4]</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regulations (EU ETS, IMO 2030 carbon intensity targets) could accelerate fleet obsolescence and increase compliance costs for older vessels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 transportation of dry bulk cargoes is a physical-world operation that AI structurally cannot displace. Ships must physically carry iron ore, coal, grains, and fertilizers across oceans -- there is no digital substitute for this service [1]. AI cannot replace the vessels, crews, port infrastructure, or the fundamental physics of global commodity trade. Shipping demand is driven by global GDP, trade flows, and commodity production, none of which are substitutable by AI. The industry's primary AI exposure is positive: AI data centers and industrial expansion increase demand for raw materials that Star Bulk transports [1]. AI Opportunity (1/1): AI-enabled fleet optimization, predictive maintenance, and route optimization tools represent cost reduction opportunities that Star Bulk can adopt to improve vessel utilization and fuel efficiency, and geopolitical disruptions creating longer voyages further boost asset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 Bulk Carriers FY2025 Financial Results -- $1.04B revenue, 8.1% margin, Eagle Bulk merger integration,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GlobalData -- CEO Petros Pappas profile, 10.8-year management tenure, leadership team analysis, 2026</w:t>
      </w:r>
    </w:p>
    <w:p>
      <w:pPr>
        <w:spacing w:before="20" w:after="20"/>
        <w:ind w:left="170"/>
      </w:pPr>
      <w:r>
        <w:rPr>
          <w:rFonts w:ascii="Calibri" w:hAnsi="Calibri"/>
          <w:b/>
          <w:color w:val="4A6B25"/>
          <w:sz w:val="15"/>
        </w:rPr>
        <w:t xml:space="preserve">3. </w:t>
      </w:r>
      <w:r>
        <w:rPr>
          <w:rFonts w:ascii="Calibri" w:hAnsi="Calibri"/>
          <w:b w:val="0"/>
          <w:color w:val="3A4A28"/>
          <w:sz w:val="17"/>
        </w:rPr>
        <w:t>Star Bulk 2024 ESG Report -- seventh annual publication, GRI/SASB aligned, Scope 3 emissions, ESG Committee, October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SBLK (Star Bulk Carriers),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