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SBRA</w:t>
      </w:r>
      <w:r>
        <w:rPr>
          <w:rFonts w:ascii="Calibri" w:hAnsi="Calibri"/>
          <w:b/>
          <w:color w:val="1A2010"/>
          <w:sz w:val="40"/>
        </w:rPr>
        <w:t xml:space="preserve">  Sabra Health Care REIT, Inc.</w:t>
      </w:r>
    </w:p>
    <w:p>
      <w:pPr>
        <w:spacing w:after="120"/>
      </w:pPr>
      <w:r>
        <w:rPr>
          <w:rFonts w:ascii="Calibri" w:hAnsi="Calibri"/>
          <w:b/>
          <w:color w:val="6E8450"/>
          <w:sz w:val="18"/>
        </w:rPr>
        <w:t>DIVIDEND SLEEVE · 2026-04-11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NASDAQ · United States</w:t>
      </w:r>
    </w:p>
    <w:p>
      <w:pPr>
        <w:spacing w:after="80"/>
      </w:pPr>
      <w:r>
        <w:rPr>
          <w:rFonts w:ascii="Calibri" w:hAnsi="Calibri"/>
          <w:b w:val="0"/>
          <w:color w:val="3A4A28"/>
          <w:sz w:val="20"/>
        </w:rPr>
        <w:t>Sabra Health Care REIT, Inc. is a self-administered, self-managed real estate investment trust that owns and invests in real estate serving the healthcare industry throughout the United States and Canada. The company's portfolio includes skilled nursing/transitional care facilities, senior housing communities, behavioral health facilities, and other specialty healthcare properties.</w:t>
      </w:r>
    </w:p>
    <w:p>
      <w:r>
        <w:rPr>
          <w:rFonts w:ascii="Calibri" w:hAnsi="Calibri"/>
          <w:b/>
          <w:color w:val="6E8450"/>
          <w:sz w:val="18"/>
        </w:rPr>
        <w:t>58 Employees · https://www.sabrahealth.com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Sabra has expanded into managed senior housing and behavioral health/addiction treatment, which now represents 13-14% of NOI, demonstrating a single meaningful portfolio pivot over the past five years [1]. AI Deployment (0/2): No evidence of AI-powered products or quantifiable AI-driven operational improvements in Sabra's property management or tenant analytics. Market Share Leadership (1/2): Sabra operates 393 investments across 61 operator relationships with a $7.3B consolidated enterprise value, positioning it as a meaningful player in healthcare REITs, though not a category leader [2]. Product Pipeline (1/2): The company is actively expanding its managed senior housing portfolio with visibility into low-to-mid-teens same-store Cash NOI growth and has guided for 5% FFO growth in 2026 [2]. R&amp;D Intensity (1/1): Sabra's Green Links fund providing capital to triple-net tenants for ESG-related property improvements is above-average for healthcare REITs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Sabra's purpose centers on 'investing in healthcare real estate that supports quality care' — clear and specific to healthcare but not deeply distinctive or transformative beyond its sector. Community &amp; Charitable Impact (1/2): The Green Links fund provides subsidized capital to tenants for environmental improvements, and the company publishes sustainability reports, but no major philanthropic programs with specific dollar amounts cited [3]. Employee Retention (1/2): CEO Rick Matros has led Sabra for over 15 years since its 2010 spinoff, and the lean 58-person team suggests stability, though no specific turnover data is available [4]. Insider Buying (1/2): Recent insider activity shows primarily stock award grants to CEO Matros (85,160 shares) and CFO Costa (22,848 shares) in February 2026, with one small officer sale of 15,231 shares — net neutral to mildly positive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Sabra's balance sheet is adequate with D/E of 89.9% and a weighted average effective interest rate of 3.92% on permanent debt, though ROE at 5.6% is weak for a REIT [1][2]. Revenue growth of 15.8% YoY to $775M driven by managed senior housing expansion is strong, and profit margin of 20.1% meets targets. However, the payout ratio of 187.5% (GAAP-based) is unsustainable on an earnings basis, consecutive dividend growth years stand at zero after the 2020 cut from $1.80 to $1.20 per share, and the 5-year dividend CAGR is deeply negative at approximately -7.8%. Forward P/E of 26.1x reflects REIT sector norms but exceeds the ideal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Sabra demonstrates a mixed infinite-game orientation anchored by CEO Rick Matros' 15-year tenure and consistent strategic focus on healthcare real estate, but the company's finite-game signals include dividend cuts to preserve financial flexibility and a reactive rather than proactive approach to portfolio transformation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Sabra's purpose of investing in healthcare real estate that supports quality care for aging and vulnerable populations connects to a genuine societal need, and the company's 15-year strategic consistency under Matros validates partial commitment. However, the cause lacks the aspirational, never-fully-achievable quality Sinek requires — it reads more as a business description than a vision of a better future (2/3 points)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lean 58-person team with long CEO tenure and recent leadership promotions of existing team members (CIO Darrin Smith, CFO Michael Costa) suggest a stable, trusting environment. Matros' public praise of the team's culture and the company's emphasis on transparency and collaboration are positive signals, though no specific retention or turnover data validates these claims (1/2 points)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Sabra acknowledges its position relative to larger healthcare REITs and uses competitive benchmarking constructively — the Q1 2026 investor presentation explicitly compares its forward FFO multiple (12.4x, lowest among peers) and dividend yield (6.3%, highest) as areas of relative value rather than dominance, reflecting an improvement-oriented competitive mindset (1/1 point)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Sabra has incrementally evolved its portfolio from pure skilled nursing toward managed senior housing and behavioral health, with the addiction treatment expansion now representing 13-14% of NOI. These are meaningful but incremental shifts rather than transformative reinvention — the company remains fundamentally a healthcare REIT with the same underlying model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dividend cut from $1.80 to $1.20 was a painful but necessary decision to preserve balance sheet flexibility during COVID, demonstrating willingness to accept short-term pain. However, the flat dividend for six consecutive years since then, despite recovering fundamentals, suggests cautious rather than bold leadership (1/2 points)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Sabra Health Care REIT offers a compelling demographic-driven thesis anchored by the accelerating growth of the 80+ population (4% annual growth through 2040) and declining skilled nursing bed supply (-12% since 2000), creating favorable supply-demand dynamics for its 393-property portfolio [2]. Q4 2025 revenue of $211.9M beat expectations by 7.6%, managed senior housing same-store Cash NOI grew 15% in 2025, and management guided for 5% FFO/AFFO per share growth in 2026 with low-to-mid-teens NOI growth in managed communities [1][2]. The 6.3% dividend yield — highest among healthcare REIT peers — provides attractive income while trading at the lowest forward FFO multiple (12.4x) in its peer group.</w:t>
      </w:r>
    </w:p>
    <w:p>
      <w:pPr>
        <w:spacing w:after="120"/>
      </w:pPr>
      <w:r>
        <w:rPr>
          <w:rFonts w:ascii="Calibri" w:hAnsi="Calibri"/>
          <w:b w:val="0"/>
          <w:color w:val="3A4A28"/>
          <w:sz w:val="20"/>
        </w:rPr>
        <w:t>The bear case centers on Sabra's elevated GAAP payout ratio of 187.5%, reflecting the structural difference between REIT earnings and cash flow that management insists is covered by normalized AFFO but remains a concern if occupancy recovery stalls. The $1.20 annual dividend has been frozen since 2021 following a 33% cut during COVID, and the 5-year dividend CAGR of -7.8% penalizes income-growth investors [5]. Skilled nursing facilities (~50% of assets) face ongoing labor cost pressures and Medicaid reimbursement uncertainty, while the company's ROE of 5.6% significantly lags the 15% target, reflecting the capital-intensive nature of REIT investing. Rising interest rates could also pressure Sabra's $7.3B enterprise value given its debt-dependent capital 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Managed senior housing same-store NOI growth of low-to-mid-teens in 2026 as occupancy recovery continues toward pre-COVID levels, driven by aging demographics and constrained new supply</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in late 2026 or 2027 if AFFO coverage strengthens, which would signal balance sheet recovery and re-rate the stock among income investors</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rotation from triple-net skilled nursing toward higher-margin managed senior housing, improving revenue quality and growth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Skilled nursing labor shortages and wage inflation compressing tenant margins, potentially leading to rent coverage deterioration and operator defaults across Sabra's 50% SNF portfolio</w:t>
      </w:r>
    </w:p>
    <w:p>
      <w:pPr>
        <w:spacing w:before="40" w:after="40"/>
        <w:ind w:left="283"/>
      </w:pPr>
      <w:r>
        <w:rPr>
          <w:rFonts w:ascii="Calibri" w:hAnsi="Calibri"/>
          <w:b/>
          <w:color w:val="4A6B25"/>
          <w:sz w:val="20"/>
        </w:rPr>
        <w:t xml:space="preserve">2. </w:t>
      </w:r>
      <w:r>
        <w:rPr>
          <w:rFonts w:ascii="Calibri" w:hAnsi="Calibri"/>
          <w:b w:val="0"/>
          <w:color w:val="3A4A28"/>
          <w:sz w:val="20"/>
        </w:rPr>
        <w:t>Medicaid reimbursement cuts or policy changes under federal budget pressures that directly impact operator profitability in Sabra's largest asset class</w:t>
      </w:r>
    </w:p>
    <w:p>
      <w:pPr>
        <w:spacing w:before="40" w:after="40"/>
        <w:ind w:left="283"/>
      </w:pPr>
      <w:r>
        <w:rPr>
          <w:rFonts w:ascii="Calibri" w:hAnsi="Calibri"/>
          <w:b/>
          <w:color w:val="4A6B25"/>
          <w:sz w:val="20"/>
        </w:rPr>
        <w:t xml:space="preserve">3. </w:t>
      </w:r>
      <w:r>
        <w:rPr>
          <w:rFonts w:ascii="Calibri" w:hAnsi="Calibri"/>
          <w:b w:val="0"/>
          <w:color w:val="3A4A28"/>
          <w:sz w:val="20"/>
        </w:rPr>
        <w:t>Rising long-term interest rates increasing Sabra's cost of capital and compressing the spread between acquisition cap rates and financing costs, limiting accretive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Sabra's core business — owning and leasing physical healthcare real estate — is structurally immune to AI disruption. Skilled nursing facilities, senior housing communities, and behavioral health centers require in-person care delivery that AI cannot replace. The aging 80+ population is projected to grow 4% annually through 2040 while skilled nursing bed supply has declined 12% since 2000, creating secular tailwinds AI cannot displace [2]. Real estate ownership, triple-net lease structures, and regulatory requirements for physical care facilities provide multiple layers of protection. AI Opportunity (0/1): Sabra does not generate revenue from AI-related products or services; AI may eventually enhance tenant operations through predictive care analytics, but Sabra itself has no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Sabra Health Care REIT Q4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Sabra Healthcare REIT Q1 2026 Investor Presentation —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Sabra Health Care REIT 2024 Sustainability Report and Green Links Fund — Nareit</w:t>
      </w:r>
    </w:p>
    <w:p>
      <w:pPr>
        <w:spacing w:before="20" w:after="20"/>
        <w:ind w:left="170"/>
      </w:pPr>
      <w:r>
        <w:rPr>
          <w:rFonts w:ascii="Calibri" w:hAnsi="Calibri"/>
          <w:b/>
          <w:color w:val="4A6B25"/>
          <w:sz w:val="15"/>
        </w:rPr>
        <w:t xml:space="preserve">4. </w:t>
      </w:r>
      <w:r>
        <w:rPr>
          <w:rFonts w:ascii="Calibri" w:hAnsi="Calibri"/>
          <w:b w:val="0"/>
          <w:color w:val="3A4A28"/>
          <w:sz w:val="17"/>
        </w:rPr>
        <w:t>Sabra Health Care REIT Leadership and Corporate Website — sabrahealth.com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SBRA key statistics and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