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SBSW</w:t>
      </w:r>
      <w:r>
        <w:rPr>
          <w:rFonts w:ascii="Calibri" w:hAnsi="Calibri"/>
          <w:b/>
          <w:color w:val="1A2010"/>
          <w:sz w:val="40"/>
        </w:rPr>
        <w:t xml:space="preserve">  Sibanye Stillwater Limited</w:t>
      </w:r>
    </w:p>
    <w:p>
      <w:pPr>
        <w:spacing w:after="120"/>
      </w:pPr>
      <w:r>
        <w:rPr>
          <w:rFonts w:ascii="Calibri" w:hAnsi="Calibri"/>
          <w:b/>
          <w:color w:val="6E8450"/>
          <w:sz w:val="18"/>
        </w:rPr>
        <w:t>GROWTH SLEEVE · 2026-03-28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Other Precious Metals &amp; Mining · NYSE · South Africa</w:t>
      </w:r>
    </w:p>
    <w:p>
      <w:pPr>
        <w:spacing w:after="80"/>
      </w:pPr>
      <w:r>
        <w:rPr>
          <w:rFonts w:ascii="Calibri" w:hAnsi="Calibri"/>
          <w:b w:val="0"/>
          <w:color w:val="3A4A28"/>
          <w:sz w:val="20"/>
        </w:rPr>
        <w:t>Sibanye Stillwater is a multinational precious metals mining company producing gold, platinum group metals (palladium, platinum, rhodium), chrome, lithium, zinc, nickel, and silver. Operations span South Africa, the United States (Montana), Finland (Keliber lithium), and Australia (Century zinc), making it one of the world's most diversified mining companies.</w:t>
      </w:r>
    </w:p>
    <w:p>
      <w:r>
        <w:rPr>
          <w:rFonts w:ascii="Calibri" w:hAnsi="Calibri"/>
          <w:b/>
          <w:color w:val="6E8450"/>
          <w:sz w:val="18"/>
        </w:rPr>
        <w:t>https://www.sibanyestillwater.com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Sibanye has executed multiple transformative acquisitions — from a single-asset SA gold miner in 2013 to a diversified global precious metals and battery metals company. The Keliber lithium project in Finland reached mechanical completion in January 2026, and Century zinc in Australia delivered 22% production growth in 2025 [1]. These represent successful pivots into new commodity verticals. AI Deployment (0/2): No AI products or quantified AI-driven cost savings. The company has a Digital Mining Laboratory with the University of Witwatersrand and discusses 'bionic' mining concepts, but no measurable AI deployment results [2]. Market Share (1/2): Sibanye is the world's largest primary PGM producer and a top-3 gold producer in South Africa, with meaningful positions in US palladium/platinum production [1]. Pipeline (1/2): Keliber lithium first production expected 2026, 765MW contracted renewable energy capacity targeting R1B annual savings by 2028, and ongoing life-extension projects at SA operations [1]. R&amp;D Intensity (0/1): Mining industry R&amp;D is inherently low; iXS innovation fund supports startups but absolute R&amp;D spend is below technology sector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Sibanye's purpose — 'to improve lives through our mining' — backed by the 'Umdoni tree' stakeholder model developed by outgoing CEO Froneman, reflects genuine intentionality. The iCARES values (innovation, commitment, accountability, respect, enabling, safety) are specific to the company and referenced in strategic decisions [2]. The vision connects mining to broader societal benefit in a way that differentiates from peers. Community Impact (1/2): The iXS innovation fund invests up to $5M in late-stage mining startups, and the company has the largest contracted private renewable energy capacity in SA mining (765MW) [2]. However, Marikana community members report ongoing air and water pollution from operations [3]. Employee Retention (0/2): Significant safety concerns undermine retention claims — 18 employee deaths in 2021, workforce cut by 12% (9,849 jobs) in 2024, and union conflicts over safety culture [3]. The assassination of a company lawyer in March 2025 during a retrenchment case highlights severe labor tensions. Insider Buying (1/2): The board declared a R3.7B dividend at the top end of stated policy (35% of normalised earnings), resuming shareholder returns after a multi-year pause, signaling confidence in the turnaround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Sibanye's 2025 results show dramatic operational improvement — EBITDA surged 189% to R37.8B and revenue rose 14% to R129.7B — but basic earnings remained a loss due to impairments [1]. D/E of 99.4% with R22.1B net debt, negative ROE of -10.3%, and negative profit margin of -4.0% reflect the lingering impact of 2023-2024 PGM price collapse. Forward P/E of 2.18x is extraordinarily cheap, reflecting both recovery expectations and South African risk discount. Net debt/EBITDA improved to 0.59x with R40B liquidity headroom [1]. Revenue 5yr CAGR is -6.9% (R172B in 2021 to R130B in 2025) as PGM prices declined from 2021 peaks. Liquidity floor cleared: 7.8M avg vol × $11.54 = $90M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Sibanye under Froneman transformed from a single-asset gold miner into a diversified global metals company, showing strategic flexibility. However, the severe safety record, union conflicts, workforce cuts, and the assassination of a company lawyer paint a picture of a company where production targets may override human welfare — a fundamentally finite game mindset in Sinek's framework.</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Froneman's 'Umdoni tree' stakeholder model and iCARES values reflect genuine organizational purpose beyond profit extraction [2]. The mission to 'improve lives through mining' is distinctive for the industry and has shaped strategic decisions (renewable energy investment, battery metals diversification). However, the gap between stated values and safety outcomes (18 deaths in 2021, lawyer assassination) undermines the cause's credibility.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Sibanye's labor relations represent a low-trust environment. The NUM union accuses the company of intimidating workers who raise safety concerns and 'pursuing production at all costs' [3]. The Solidarity union calls on management to 'end their hostility with their own employees.' A 12% workforce reduction (9,849 jobs) in 2024 and the assassination of a company lawyer during retrenchment proceedings suggest severe organizational tension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Sibanye frames competition as a learning opportunity. The company's language focuses on operational excellence and cost optimization rather than improving through competitive rivalry. The hostile engagement with unions and communities suggests a win-lose rather than learning-oriented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Sibanye has demonstrated meaningful strategic transformation — from a single SA gold mine in 2013 to PGMs, lithium (Keliber Finland), zinc (Century Australia), and 765MW renewable energy [1][2]. Each acquisition expanded the company's commodity exposure and geographic reach. However, these were growth-by-acquisition rather than fundamental business model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Froneman invested in the Keliber lithium project and renewable energy capacity during years of severe PGM price declines and consecutive losses, demonstrating willingness to invest counter-cyclically [1]. The capital allocation framework (one-third dividends, one-third debt reduction, one-third growth) is disciplined. However, the leadership transition from Froneman to Stewart introduces execution uncertainty.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Sibanye Stillwater's 2025 turnaround is dramatic — EBITDA surged 189% to R37.8B ($2.1B) as gold prices hit all-time highs ($5,595/oz in January 2026) and PGM operations returned to profitability [1]. At a forward P/E of 2.2x with R40B liquidity headroom and net debt/EBITDA of 0.59x, SBSW is among the cheapest mining stocks globally. The Keliber lithium project reaching mechanical completion positions the company for battery metals revenue in 2026, while 765MW contracted renewable energy will deliver R1B annual cost savings from 2028 [1]. The capital allocation framework — one-third dividends, one-third debt reduction, one-third growth — is disciplined, and the R3.7B dividend at the top of policy signals management confidence. SA PGM, SA gold, US PGM, and Century zinc all showed operational improvement, creating a diversified earnings base.</w:t>
      </w:r>
    </w:p>
    <w:p>
      <w:pPr>
        <w:spacing w:after="120"/>
      </w:pPr>
      <w:r>
        <w:rPr>
          <w:rFonts w:ascii="Calibri" w:hAnsi="Calibri"/>
          <w:b w:val="0"/>
          <w:color w:val="3A4A28"/>
          <w:sz w:val="20"/>
        </w:rPr>
        <w:t>The bear case is anchored in Sibanye's severe ESG risk profile and commodity cyclicality. Mine safety remains a material liability — 18 deaths in 2021, ongoing fatalities at Driefontein and Kloof, a workforce trapped underground in May 2025, and the targeted assassination of a company lawyer during retrenchment proceedings [3]. Union conflict with NUM and Solidarity over safety culture and job cuts creates operational disruption risk. Revenue has declined from R172B (2021) to R130B (2025) on a 5-year basis as PGM prices fell from peaks. Negative ROE (-10.3%) and profit margin (-4.0%) despite the 'turnaround' show basic earnings remain a loss after impairments. South African political risk, power grid instability (Eskom), and currency volatility add macro risk. The CEO transition from Froneman to Stewart introduces leadership uncertainty. At $11.54, the stock is down 46% from its 52-week high of $21.29, reflecting the market's skepticism about sustainability of the recovery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Gold price momentum — spot gold at $5,595/oz provides extraordinary revenue amplification for SA gold operations, which generated R12.5B EBITDA in 2025 [1]</w:t>
      </w:r>
    </w:p>
    <w:p>
      <w:pPr>
        <w:spacing w:before="40" w:after="40"/>
        <w:ind w:left="283"/>
      </w:pPr>
      <w:r>
        <w:rPr>
          <w:rFonts w:ascii="Calibri" w:hAnsi="Calibri"/>
          <w:b/>
          <w:color w:val="4A6B25"/>
          <w:sz w:val="20"/>
        </w:rPr>
        <w:t xml:space="preserve">2. </w:t>
      </w:r>
      <w:r>
        <w:rPr>
          <w:rFonts w:ascii="Calibri" w:hAnsi="Calibri"/>
          <w:b w:val="0"/>
          <w:color w:val="3A4A28"/>
          <w:sz w:val="20"/>
        </w:rPr>
        <w:t>Keliber lithium first production in 2026, opening a new battery metals revenue stream aligned with global EV and energy storage demand [1]</w:t>
      </w:r>
    </w:p>
    <w:p>
      <w:pPr>
        <w:spacing w:before="40" w:after="40"/>
        <w:ind w:left="283"/>
      </w:pPr>
      <w:r>
        <w:rPr>
          <w:rFonts w:ascii="Calibri" w:hAnsi="Calibri"/>
          <w:b/>
          <w:color w:val="4A6B25"/>
          <w:sz w:val="20"/>
        </w:rPr>
        <w:t xml:space="preserve">3. </w:t>
      </w:r>
      <w:r>
        <w:rPr>
          <w:rFonts w:ascii="Calibri" w:hAnsi="Calibri"/>
          <w:b w:val="0"/>
          <w:color w:val="3A4A28"/>
          <w:sz w:val="20"/>
        </w:rPr>
        <w:t>Capital allocation framework delivering R3.7B dividend with net debt/EBITDA at 0.59x, creating a path to sustained shareholder returns if commodity prices hold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Mine safety and labor relations — 18 deaths in 2021, ongoing fatalities, union accusations of 'production at all costs' culture, and lawyer assassination create regulatory, legal, and operational risk [3]</w:t>
      </w:r>
    </w:p>
    <w:p>
      <w:pPr>
        <w:spacing w:before="40" w:after="40"/>
        <w:ind w:left="283"/>
      </w:pPr>
      <w:r>
        <w:rPr>
          <w:rFonts w:ascii="Calibri" w:hAnsi="Calibri"/>
          <w:b/>
          <w:color w:val="4A6B25"/>
          <w:sz w:val="20"/>
        </w:rPr>
        <w:t xml:space="preserve">2. </w:t>
      </w:r>
      <w:r>
        <w:rPr>
          <w:rFonts w:ascii="Calibri" w:hAnsi="Calibri"/>
          <w:b w:val="0"/>
          <w:color w:val="3A4A28"/>
          <w:sz w:val="20"/>
        </w:rPr>
        <w:t>Commodity cyclicality — revenue declined 25% from 2021 to 2024 as PGM prices collapsed; current recovery depends on sustained gold prices above $5,000/oz and PGM stabilization [1]</w:t>
      </w:r>
    </w:p>
    <w:p>
      <w:pPr>
        <w:spacing w:before="40" w:after="40"/>
        <w:ind w:left="283"/>
      </w:pPr>
      <w:r>
        <w:rPr>
          <w:rFonts w:ascii="Calibri" w:hAnsi="Calibri"/>
          <w:b/>
          <w:color w:val="4A6B25"/>
          <w:sz w:val="20"/>
        </w:rPr>
        <w:t xml:space="preserve">3. </w:t>
      </w:r>
      <w:r>
        <w:rPr>
          <w:rFonts w:ascii="Calibri" w:hAnsi="Calibri"/>
          <w:b w:val="0"/>
          <w:color w:val="3A4A28"/>
          <w:sz w:val="20"/>
        </w:rPr>
        <w:t>South African macro risk — Eskom load shedding, currency depreciation, political uncertainty, and Marikana community environmental complaints create a challenging operating environment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Mining is structurally immune to AI disruption — extracting gold, PGMs, lithium, and zinc from underground requires physical-world operations, heavy equipment, and geological expertise that AI cannot substitute [2]. AI actually increases demand for Sibanye's products: data center buildouts require PGMs for electrical contacts, lithium for backup batteries, and copper for wiring. Gold benefits from AI-driven economic uncertainty as a safe haven asset. The company's US PGM operations and Keliber lithium project are direct beneficiaries of AI infrastructure spending. AI Opportunity (0/1): Sibanye does not generate revenue from AI products. The Digital Mining Laboratory and 'bionic' mining initiatives use technology operationally but do not constitute AI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Sibanye Stillwater Full Year 2025 Results — R129.7B revenue, R37.8B EBITDA, R3.7B dividend, February 2026</w:t>
      </w:r>
    </w:p>
    <w:p>
      <w:pPr>
        <w:spacing w:before="20" w:after="20"/>
        <w:ind w:left="170"/>
      </w:pPr>
      <w:r>
        <w:rPr>
          <w:rFonts w:ascii="Calibri" w:hAnsi="Calibri"/>
          <w:b/>
          <w:color w:val="4A6B25"/>
          <w:sz w:val="15"/>
        </w:rPr>
        <w:t xml:space="preserve">2. </w:t>
      </w:r>
      <w:r>
        <w:rPr>
          <w:rFonts w:ascii="Calibri" w:hAnsi="Calibri"/>
          <w:b w:val="0"/>
          <w:color w:val="3A4A28"/>
          <w:sz w:val="17"/>
        </w:rPr>
        <w:t>Sibanye Stillwater Leadership and Strategy — Froneman/Stewart transition, iCARES values, Digital Mining Lab, innovation programs</w:t>
      </w:r>
    </w:p>
    <w:p>
      <w:pPr>
        <w:spacing w:before="20" w:after="20"/>
        <w:ind w:left="170"/>
      </w:pPr>
      <w:r>
        <w:rPr>
          <w:rFonts w:ascii="Calibri" w:hAnsi="Calibri"/>
          <w:b/>
          <w:color w:val="4A6B25"/>
          <w:sz w:val="15"/>
        </w:rPr>
        <w:t xml:space="preserve">3. </w:t>
      </w:r>
      <w:r>
        <w:rPr>
          <w:rFonts w:ascii="Calibri" w:hAnsi="Calibri"/>
          <w:b w:val="0"/>
          <w:color w:val="3A4A28"/>
          <w:sz w:val="17"/>
        </w:rPr>
        <w:t>Business &amp; Human Rights Resource Centre / NUM / Solidarity — mine safety record, labor disputes, community complaints, lawyer assassination, 2021-2026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SBSW (Sibanye Stillwater), retrieved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