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SBUX</w:t>
      </w:r>
      <w:r>
        <w:rPr>
          <w:rFonts w:ascii="Calibri" w:hAnsi="Calibri"/>
          <w:b/>
          <w:color w:val="1A2010"/>
          <w:sz w:val="40"/>
        </w:rPr>
        <w:t xml:space="preserve">  Starbucks Corporation</w:t>
      </w:r>
    </w:p>
    <w:p>
      <w:pPr>
        <w:spacing w:after="120"/>
      </w:pPr>
      <w:r>
        <w:rPr>
          <w:rFonts w:ascii="Calibri" w:hAnsi="Calibri"/>
          <w:b/>
          <w:color w:val="6E8450"/>
          <w:sz w:val="18"/>
        </w:rPr>
        <w:t>DIVIDEND SLEEVE · 2026-03-27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NASDAQ · United States</w:t>
      </w:r>
    </w:p>
    <w:p>
      <w:pPr>
        <w:spacing w:after="80"/>
      </w:pPr>
      <w:r>
        <w:rPr>
          <w:rFonts w:ascii="Calibri" w:hAnsi="Calibri"/>
          <w:b w:val="0"/>
          <w:color w:val="3A4A28"/>
          <w:sz w:val="20"/>
        </w:rPr>
        <w:t>Starbucks Corporation is the world's largest specialty coffee roaster, marketer, and retailer, operating over 38,000 coffeehouses globally across company-operated and licensed stores in more than 80 markets. The company also offers packaged coffee, tea, and ready-to-drink beverages through grocery and foodservice channels.</w:t>
      </w:r>
    </w:p>
    <w:p>
      <w:r>
        <w:rPr>
          <w:rFonts w:ascii="Calibri" w:hAnsi="Calibri"/>
          <w:b/>
          <w:color w:val="6E8450"/>
          <w:sz w:val="18"/>
        </w:rPr>
        <w:t>381,000 Employees · https://www.starbucks.com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CEO Brian Niccol's 'Back to Starbucks' strategy has delivered the first transaction growth in 8 quarters, with global comps up 4% in Q1 FY2026, demonstrating a successful cultural and operational transformation [1]. AI Deployment (2/2): Starbucks deployed Green Dot Assist (generative AI virtual assistant) across all North American stores in November 2025, and 'Smart Q' AI prioritizes order sequencing for sub-4-minute delivery — measurable operational impact [2]. Market Share Leadership (2/2): Starbucks is the undisputed global leader in specialty coffee with 38,000+ locations, massive mobile ordering penetration, and a loyalty program with tens of millions of active members [1]. Product Pipeline (0/2): Menu simplification rather than new product launches is the current focus; no specific next-gen product timelines disclosed [1]. R&amp;D Intensity (1/1): Technology and innovation spending is above restaurant industry average, with AI, digital, and store renovation investments accelerating under Niccol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Starbucks' 'third place' vision — connecting people through coffee in warm, welcoming spaces — is deeply embedded in the company's DNA and has been reinvigorated by Niccol's return to craft and human connection over manufacturing efficiency [2]. Community Impact (2/2): Starbucks invests significantly in barista wages, benefits (healthcare for part-time workers), and community stores, with Niccol explicitly prioritizing 'more partners in stores' and better working conditions [2]. Employee Retention (1/2): Labor union challenges at hundreds of stores reflect significant frontline worker discontent, though Niccol's investments in staffing and store experience aim to address this [3]. Insider Buying (1/2): Niccol's substantial compensation package includes significant equity alignment, and the China JV structure suggests board confidence in strategic direction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Starbucks' financial profile shows strain — trailing P/E of 76.0 and forward P/E of 30.9 are elevated for a restaurant company [1]. Profit margin of 3.6% is extremely compressed (down from historical 10-15%), and the payout ratio exceeds 200%, raising sustainability concerns [1]. ROE and D/E are unavailable due to negative equity from aggressive buybacks. Revenue grew 5.5% YoY to $9.9B in Q1 FY2026, and EPS guidance of $2.15-2.40 implies significant earnings recovery [1]. Dividend yield of 2.72% with 5-year average of 2.25% and long payment history provide some support [1]. Daily dollar volume of ~$835M provides excellent liquidity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Starbucks' 'Back to Starbucks' transformation under Niccol represents a return to infinite-game thinking — prioritizing craft, community, and partner experience over short-term efficiency metrics that had degraded the brand. However, the China divestiture and margin pressures reveal finite-game tensions.</w:t>
      </w:r>
    </w:p>
    <w:p>
      <w:pPr>
        <w:spacing w:before="200" w:after="40"/>
      </w:pPr>
      <w:r>
        <w:rPr>
          <w:rFonts w:ascii="Calibri" w:hAnsi="Calibri"/>
          <w:b/>
          <w:color w:val="1A2010"/>
          <w:sz w:val="22"/>
        </w:rPr>
        <w:t>Just Cause</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'third place' vision of creating human connection through coffee is authentic, widely understood, and has guided Starbucks for decades — Niccol's reinvigoration of this cause over manufacturing efficiency is a return to the company's infinite roots [2].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Niccol's investments in more baristas, better working conditions, and the condiment bar return show commitment to trusting teams, but hundreds of union organizing efforts reveal deep frontline trust deficits that predate his tenure [2][3].</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Starbucks acknowledges and learns from competitors including Dunkin', specialty coffee shops, and Chinese competitors like Luckin Coffee, using quality and experience rather than price as differentiation [1].</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planned China JV with Boyu Capital at $4B enterprise value demonstrates willingness to fundamentally restructure international operations, and Niccol's strategy reversal from efficiency to experience shows organizational flexibility [1].</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Niccol showed courage in publicly admitting Starbucks 'ran like a manufacturing facility,' reversing years of efficiency-first strategy, and investing in barista staffing despite near-term margin compression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Starbucks under Brian Niccol is executing the most promising turnaround in the restaurant industry — Q1 FY2026 delivered 4% global comp growth (first transaction growth in 8 quarters), revenue up 5.5% to $9.9B, and the stock surged 9.6% post-earnings despite an EPS miss [1][2]. The 'Back to Starbucks' strategy has the potential to restore operating margins from the current 9% toward the historical 15-17% range, which at the guided $2.15-2.40 EPS would represent massive earnings recovery. The China JV at $4B enterprise value unlocks capital reallocation, and Niccol's track record at Chipotle (revenue doubled, stock up 800%) gives confidence in execution [1].</w:t>
      </w:r>
    </w:p>
    <w:p>
      <w:pPr>
        <w:spacing w:after="120"/>
      </w:pPr>
      <w:r>
        <w:rPr>
          <w:rFonts w:ascii="Calibri" w:hAnsi="Calibri"/>
          <w:b w:val="0"/>
          <w:color w:val="3A4A28"/>
          <w:sz w:val="20"/>
        </w:rPr>
        <w:t>The bear case is that Starbucks' compressed 3.6% profit margin and 76x trailing P/E reflect structural rather than cyclical challenges — the investments in staffing, store renovation, and menu simplification may not yield the margin recovery the market expects [1]. The dividend payout ratio of 204% is unsustainable without significant earnings improvement, and forward P/E of 30.9x prices in substantial recovery already. The China business reclassification removes a growth engine, labor union headwinds continue, and the competitive environment in specialty coffee is intensifying. Niccol's substantial compensation package ($113M+ first year) adds governance risk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comp store growth above 3% in H2 FY2026 would validate the turnaround and support margin recovery toward historical 15%+ operating margins [1]</w:t>
      </w:r>
    </w:p>
    <w:p>
      <w:pPr>
        <w:spacing w:before="40" w:after="40"/>
        <w:ind w:left="283"/>
      </w:pPr>
      <w:r>
        <w:rPr>
          <w:rFonts w:ascii="Calibri" w:hAnsi="Calibri"/>
          <w:b/>
          <w:color w:val="4A6B25"/>
          <w:sz w:val="20"/>
        </w:rPr>
        <w:t xml:space="preserve">2. </w:t>
      </w:r>
      <w:r>
        <w:rPr>
          <w:rFonts w:ascii="Calibri" w:hAnsi="Calibri"/>
          <w:b w:val="0"/>
          <w:color w:val="3A4A28"/>
          <w:sz w:val="20"/>
        </w:rPr>
        <w:t>China JV closing in early calendar 2026 unlocks capital reallocation and simplifies the geographic story for investors [1]</w:t>
      </w:r>
    </w:p>
    <w:p>
      <w:pPr>
        <w:spacing w:before="40" w:after="40"/>
        <w:ind w:left="283"/>
      </w:pPr>
      <w:r>
        <w:rPr>
          <w:rFonts w:ascii="Calibri" w:hAnsi="Calibri"/>
          <w:b/>
          <w:color w:val="4A6B25"/>
          <w:sz w:val="20"/>
        </w:rPr>
        <w:t xml:space="preserve">3. </w:t>
      </w:r>
      <w:r>
        <w:rPr>
          <w:rFonts w:ascii="Calibri" w:hAnsi="Calibri"/>
          <w:b w:val="0"/>
          <w:color w:val="3A4A28"/>
          <w:sz w:val="20"/>
        </w:rPr>
        <w:t>Operating margin improvement from staffing efficiency and menu simplification could drive EPS toward the high end of $2.15-2.40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Payout ratio of 204% is unsustainable — any delay in earnings recovery forces a dividend cut that would pressure the stock significantly [1]</w:t>
      </w:r>
    </w:p>
    <w:p>
      <w:pPr>
        <w:spacing w:before="40" w:after="40"/>
        <w:ind w:left="283"/>
      </w:pPr>
      <w:r>
        <w:rPr>
          <w:rFonts w:ascii="Calibri" w:hAnsi="Calibri"/>
          <w:b/>
          <w:color w:val="4A6B25"/>
          <w:sz w:val="20"/>
        </w:rPr>
        <w:t xml:space="preserve">2. </w:t>
      </w:r>
      <w:r>
        <w:rPr>
          <w:rFonts w:ascii="Calibri" w:hAnsi="Calibri"/>
          <w:b w:val="0"/>
          <w:color w:val="3A4A28"/>
          <w:sz w:val="20"/>
        </w:rPr>
        <w:t>Forward P/E of 30.9x prices in significant recovery already, leaving limited upside if margin improvement is slower than expected [1]</w:t>
      </w:r>
    </w:p>
    <w:p>
      <w:pPr>
        <w:spacing w:before="40" w:after="40"/>
        <w:ind w:left="283"/>
      </w:pPr>
      <w:r>
        <w:rPr>
          <w:rFonts w:ascii="Calibri" w:hAnsi="Calibri"/>
          <w:b/>
          <w:color w:val="4A6B25"/>
          <w:sz w:val="20"/>
        </w:rPr>
        <w:t xml:space="preserve">3. </w:t>
      </w:r>
      <w:r>
        <w:rPr>
          <w:rFonts w:ascii="Calibri" w:hAnsi="Calibri"/>
          <w:b w:val="0"/>
          <w:color w:val="3A4A28"/>
          <w:sz w:val="20"/>
        </w:rPr>
        <w:t>Ongoing labor union organizing across hundreds of stores creates reputational risk and potential labor cost inflation that constrains margin recovery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Starbucks' core value proposition — the human coffeehouse experience, barista craft, and community connection — is inherently resistant to AI disruption [2]. Physical store operations, food and beverage preparation, and the 'third place' experience cannot be digitized. However, AI-native delivery and ordering platforms could commoditize the convenience aspect of mobile ordering. AI Opportunity (1/1): Green Dot Assist, Smart Q sequencing, AI-personalized mobile ordering, and predictive inventory management demonstrate active AI deployment that enhances both operations and customer experience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Starbucks Q1 Fiscal Year 2026 Earnings Release and Investor Day, January 2026</w:t>
      </w:r>
    </w:p>
    <w:p>
      <w:pPr>
        <w:spacing w:before="20" w:after="20"/>
        <w:ind w:left="170"/>
      </w:pPr>
      <w:r>
        <w:rPr>
          <w:rFonts w:ascii="Calibri" w:hAnsi="Calibri"/>
          <w:b/>
          <w:color w:val="4A6B25"/>
          <w:sz w:val="15"/>
        </w:rPr>
        <w:t xml:space="preserve">2. </w:t>
      </w:r>
      <w:r>
        <w:rPr>
          <w:rFonts w:ascii="Calibri" w:hAnsi="Calibri"/>
          <w:b w:val="0"/>
          <w:color w:val="3A4A28"/>
          <w:sz w:val="17"/>
        </w:rPr>
        <w:t>Fortune, Semafor — Brian Niccol Leadership and AI Innovation Coverage, 2025-2026</w:t>
      </w:r>
    </w:p>
    <w:p>
      <w:pPr>
        <w:spacing w:before="20" w:after="20"/>
        <w:ind w:left="170"/>
      </w:pPr>
      <w:r>
        <w:rPr>
          <w:rFonts w:ascii="Calibri" w:hAnsi="Calibri"/>
          <w:b/>
          <w:color w:val="4A6B25"/>
          <w:sz w:val="15"/>
        </w:rPr>
        <w:t xml:space="preserve">3. </w:t>
      </w:r>
      <w:r>
        <w:rPr>
          <w:rFonts w:ascii="Calibri" w:hAnsi="Calibri"/>
          <w:b w:val="0"/>
          <w:color w:val="3A4A28"/>
          <w:sz w:val="17"/>
        </w:rPr>
        <w:t>Starbucks Investor Relations and Company Website, accessed March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SBUX key statistics, accessed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