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SCCO</w:t>
      </w:r>
      <w:r>
        <w:rPr>
          <w:rFonts w:ascii="Calibri" w:hAnsi="Calibri"/>
          <w:b/>
          <w:color w:val="1A2010"/>
          <w:sz w:val="40"/>
        </w:rPr>
        <w:t xml:space="preserve">  Southern Copper Corporation</w:t>
      </w:r>
    </w:p>
    <w:p>
      <w:pPr>
        <w:spacing w:after="120"/>
      </w:pPr>
      <w:r>
        <w:rPr>
          <w:rFonts w:ascii="Calibri" w:hAnsi="Calibri"/>
          <w:b/>
          <w:color w:val="6E8450"/>
          <w:sz w:val="18"/>
        </w:rPr>
        <w:t>DIVIDEND SLEEVE · 2026-04-17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NYSE · United States</w:t>
      </w:r>
    </w:p>
    <w:p>
      <w:pPr>
        <w:spacing w:after="80"/>
      </w:pPr>
      <w:r>
        <w:rPr>
          <w:rFonts w:ascii="Calibri" w:hAnsi="Calibri"/>
          <w:b w:val="0"/>
          <w:color w:val="3A4A28"/>
          <w:sz w:val="20"/>
        </w:rPr>
        <w:t>Southern Copper Corporation is an integrated copper mining, smelting, and refining company operating in Peru, Mexico, Argentina, and Chile. It produces copper, molybdenum, zinc, silver, and gold from open-pit and underground mines. The company holds 164,805 hectares in Peru and 505,788 hectares in Mexico. A subsidiary of Americas Mining Corporation.</w:t>
      </w:r>
    </w:p>
    <w:p>
      <w:r>
        <w:rPr>
          <w:rFonts w:ascii="Calibri" w:hAnsi="Calibri"/>
          <w:b/>
          <w:color w:val="6E8450"/>
          <w:sz w:val="18"/>
        </w:rPr>
        <w:t>16,617 Employees · https://www.southerncoppercorp.com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SCCO delivered record revenue of $13.42B in 2025 (39% YoY growth), driven by rising copper prices and production volumes, with Q4 2025 EPS of $1.60 representing 64.7% quarterly growth [1]. The Tia Maria project in Peru targets a 2027 start, adding 120,000 tonnes/year of copper capacity [1]. AI Deployment (0/2): No evidence of AI-powered products or quantified AI-driven operational savings in mining operations. Market Share (2/2): SCCO is the world's fifth-largest integrated copper producer by output and the largest copper producer in Mexico, with dominant positions in copper, molybdenum, and zinc across Latin America [1][2]. Pipeline (1/2): The Tia Maria project has a 2027 target date and the company has $4.75B in operating cash flow, but specific next-generation mining technology timelines are limited [1]. R&amp;D Intensity (1/1): Mining-level R&amp;D investment in exploration, with 98,634 hectares of concessions in Argentina and 28,453 in Chile for growth expansion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Southern Copper's mission centers on sustainable copper mining to serve global infrastructure needs, articulating responsibility to communities and the environment, but it reads as standard industry language without distinctive purpose beyond operational excellence. Community Impact (2/2): The company has allocated approximately $379.9 million since 2019 to social and philanthropic projects supporting the UN Sustainable Development Goals in communities near its operations in Peru and Mexico [3]. Employee Retention (1/2): With 16,617 employees operating across multiple countries, SCCO maintains a stable workforce in challenging mining environments, though the sudden death of CEO Oscar Gonzalez Rocha in April 2026 introduces near-term leadership uncertainty [2]. Insider Buying (0/2): The parent company Americas Mining Corporation holds a controlling stake, but no evidence of recent net insider buying by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 Copper's financial profile is exceptional for a mining company. D/E of 66.8% is below the 70% target, ROE of 42.7% far exceeds the 15% threshold, and profit margin of 32.3% reflects outstanding operational efficiency with 60.9% gross margins [4]. Revenue growth of 39% YoY and 10.1% 3-year CAGR demonstrate strong cyclical momentum driven by elevated copper prices and production expansion. Forward P/E of 30.5x is elevated for a commodity producer, reflecting the copper supercycle premium. Payout ratio of 58.4% is above ideal but sustainable given strong cash flows ($4.75B operating cash flow, $3.34B free cash flow). The company has paid dividends for 31 consecutive years with a 16% 5-year CAGR, though consecutive growth years are limited due to variable dividend policy tied to copper prices. Liquidity floor easily cleared: 2.06M avg volume x $188.25 = $388M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Southern Copper plays a moderately infinite game, anchored by a 70+ year operating history and long-term mine development projects spanning decades. The variable dividend policy tied to copper prices rather than quarterly smoothing shows cyclical awareness. However, the company operates under a controlling parent (Americas Mining Corporation/Grupo Mexico), which limits strategic independence, and the sudden CEO death in April 2026 tests organizational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 Copper's purpose of supplying essential copper for global infrastructure is important but not distinctive — any copper miner could make the same claim. The company articulates commitment to sustainability and community development, but the Just Cause is more industry-standard than transformative. Score: 1/3 points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maintains 16,617 employees across Peru, Mexico, and the US with apparent operational stability. The organization continued functioning effectively after CEO Rocha's sudden death in April 2026, suggesting institutional resilience rather than personality dependence. However, mining operations in developing countries face inherent labor challenges. Score: 1/2 points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SCCO acknowledges competitive dynamics with Freeport-McMoRan, BHP, and Codelco, positioning itself as the lowest-cost copper producer rather than trying to 'beat' rivals. Management frames growth through operational efficiency and reserve development rather than market share warfare. Score: 1/1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 Copper has incrementally diversified from pure copper to include molybdenum, zinc, silver, and gold production, and has expanded geographically from Peru to Mexico, Argentina, and Chile. The Tia Maria greenfield development shows willingness to invest in new capacity. However, the core business model has remained unchanged for decades — mine, smelt, refine. Score: 1/2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demonstrated courage by continuing the Tia Maria project in Peru despite years of community opposition and permitting delays, investing through the copper price downturn of 2019-2020 when peers cut capex. The variable dividend policy that pays more in good times and less in bad times (rather than maintaining unsustainable payouts) shows long-term thinking. Score: 1/2 points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Southern Copper is a premier copper play benefiting from the structural copper supercycle driven by AI data center buildout, EV adoption, and grid electrification. Revenue surged 39% YoY to $13.42B in 2025 with 32.3% profit margins, 42.7% ROE, and $3.34B in free cash flow [1][4]. The company's D/E of 66.8% is conservative for a miner, and the 31-year dividend history with 2.12% yield provides income alongside growth exposure. At forward P/E of 30.5x, SCCO trades at a premium to mining peers but is positioned as the lowest-cost integrated copper producer with massive reserve bases across Peru and Mexico. The Tia Maria project (2027 start) adds 120,000 tonnes/year, and management projects $16B in 2026 revenue [1].</w:t>
      </w:r>
    </w:p>
    <w:p>
      <w:pPr>
        <w:spacing w:after="120"/>
      </w:pPr>
      <w:r>
        <w:rPr>
          <w:rFonts w:ascii="Calibri" w:hAnsi="Calibri"/>
          <w:b w:val="0"/>
          <w:color w:val="3A4A28"/>
          <w:sz w:val="20"/>
        </w:rPr>
        <w:t>The bear case centers on commodity cyclicality and valuation. Forward P/E of 30.5x and PEG of 5.4x are expensive for a mining company, pricing in a perfect copper supercycle scenario. The sudden death of CEO Oscar Gonzalez Rocha in April 2026 creates leadership uncertainty at a critical moment in the Tia Maria development cycle [2]. SCCO is controlled by Americas Mining Corporation (Grupo Mexico), which raises minority shareholder governance concerns. Peru and Mexico both face political instability — mining nationalism, permitting delays, and community opposition have historically disrupted operations. Variable dividends (payout ratio 58.4%) mean income is not reliable in copper downturns — annual dividends ranged from $0.17 (2016) to $3.82 (2023) [4]. Over 25% of global copper supply is trapped by ESG roadblocks, and SCCO's Latin American operations face ongoing environmental scrutiny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Tia Maria copper project in Peru targeting 2027 commissioning, adding 120,000 tonnes/year of capacity to SCCO's production base [1]</w:t>
      </w:r>
    </w:p>
    <w:p>
      <w:pPr>
        <w:spacing w:before="40" w:after="40"/>
        <w:ind w:left="283"/>
      </w:pPr>
      <w:r>
        <w:rPr>
          <w:rFonts w:ascii="Calibri" w:hAnsi="Calibri"/>
          <w:b/>
          <w:color w:val="4A6B25"/>
          <w:sz w:val="20"/>
        </w:rPr>
        <w:t xml:space="preserve">2. </w:t>
      </w:r>
      <w:r>
        <w:rPr>
          <w:rFonts w:ascii="Calibri" w:hAnsi="Calibri"/>
          <w:b w:val="0"/>
          <w:color w:val="3A4A28"/>
          <w:sz w:val="20"/>
        </w:rPr>
        <w:t>AI data center and EV infrastructure buildout driving projected global copper deficit through 2026+, supporting elevated copper prices [1]</w:t>
      </w:r>
    </w:p>
    <w:p>
      <w:pPr>
        <w:spacing w:before="40" w:after="40"/>
        <w:ind w:left="283"/>
      </w:pPr>
      <w:r>
        <w:rPr>
          <w:rFonts w:ascii="Calibri" w:hAnsi="Calibri"/>
          <w:b/>
          <w:color w:val="4A6B25"/>
          <w:sz w:val="20"/>
        </w:rPr>
        <w:t xml:space="preserve">3. </w:t>
      </w:r>
      <w:r>
        <w:rPr>
          <w:rFonts w:ascii="Calibri" w:hAnsi="Calibri"/>
          <w:b w:val="0"/>
          <w:color w:val="3A4A28"/>
          <w:sz w:val="20"/>
        </w:rPr>
        <w:t>Management targeting $16B in 2026 revenue, representing ~19% YoY growth from 2025's $13.42B record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following Oscar Gonzalez Rocha's sudden death in April 2026, with board yet to appoint a permanent successor during Tia Maria's critical development phase [2]</w:t>
      </w:r>
    </w:p>
    <w:p>
      <w:pPr>
        <w:spacing w:before="40" w:after="40"/>
        <w:ind w:left="283"/>
      </w:pPr>
      <w:r>
        <w:rPr>
          <w:rFonts w:ascii="Calibri" w:hAnsi="Calibri"/>
          <w:b/>
          <w:color w:val="4A6B25"/>
          <w:sz w:val="20"/>
        </w:rPr>
        <w:t xml:space="preserve">2. </w:t>
      </w:r>
      <w:r>
        <w:rPr>
          <w:rFonts w:ascii="Calibri" w:hAnsi="Calibri"/>
          <w:b w:val="0"/>
          <w:color w:val="3A4A28"/>
          <w:sz w:val="20"/>
        </w:rPr>
        <w:t>Commodity price cyclicality — copper prices can decline 30-40% in recessions, compressing margins and triggering dividend cuts, as seen in 2015-2016 when annual dividends fell to $0.17 [4]</w:t>
      </w:r>
    </w:p>
    <w:p>
      <w:pPr>
        <w:spacing w:before="40" w:after="40"/>
        <w:ind w:left="283"/>
      </w:pPr>
      <w:r>
        <w:rPr>
          <w:rFonts w:ascii="Calibri" w:hAnsi="Calibri"/>
          <w:b/>
          <w:color w:val="4A6B25"/>
          <w:sz w:val="20"/>
        </w:rPr>
        <w:t xml:space="preserve">3. </w:t>
      </w:r>
      <w:r>
        <w:rPr>
          <w:rFonts w:ascii="Calibri" w:hAnsi="Calibri"/>
          <w:b w:val="0"/>
          <w:color w:val="3A4A28"/>
          <w:sz w:val="20"/>
        </w:rPr>
        <w:t>Latin American political and permitting risk — Peru and Mexico face mining nationalism, community opposition, and regulatory uncertainty that could delay or cancel expansion projects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mining is a physical-world operation that AI structurally cannot displace. SCCO's core business involves extracting, smelting, and refining metals from underground and open-pit mines across Peru and Mexico — processes requiring heavy equipment, geological expertise, and physical infrastructure [2]. AI is fundamentally an enabler for copper demand, as AI data centers consume massive amounts of electricity requiring copper wiring, and AI chip manufacturing requires copper interconnects. The global copper deficit projected through 2026+ directly benefits SCCO as AI infrastructure buildout accelerates [1]. AI Opportunity (1/1): While SCCO does not sell AI products, the company is a direct infrastructure beneficiary — copper is an essential input for AI data center power grids, EV charging networks, and semiconductor manufacturing, all of which are scaling rapidly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Southern Copper Q4 2025 Earnings Release — $13.42B annual revenue, 39% YoY growth, $1.60 Q4 EPS,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Southern Copper Corporation 8-K Filing — CEO Oscar Gonzalez Rocha passing, April 7, 2026; Simply Wall St leadership analysis</w:t>
      </w:r>
    </w:p>
    <w:p>
      <w:pPr>
        <w:spacing w:before="20" w:after="20"/>
        <w:ind w:left="170"/>
      </w:pPr>
      <w:r>
        <w:rPr>
          <w:rFonts w:ascii="Calibri" w:hAnsi="Calibri"/>
          <w:b/>
          <w:color w:val="4A6B25"/>
          <w:sz w:val="15"/>
        </w:rPr>
        <w:t xml:space="preserve">3. </w:t>
      </w:r>
      <w:r>
        <w:rPr>
          <w:rFonts w:ascii="Calibri" w:hAnsi="Calibri"/>
          <w:b w:val="0"/>
          <w:color w:val="3A4A28"/>
          <w:sz w:val="17"/>
        </w:rPr>
        <w:t>Southern Copper sustainability reporting — $379.9M social investment since 2019; MINING.COM ESG analysis of copper supply constraints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SCCO,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