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SCHW</w:t>
      </w:r>
      <w:r>
        <w:rPr>
          <w:rFonts w:ascii="Calibri" w:hAnsi="Calibri"/>
          <w:b/>
          <w:color w:val="1A2010"/>
          <w:sz w:val="40"/>
        </w:rPr>
        <w:t xml:space="preserve">  The Charles Schwab Corporation</w:t>
      </w:r>
    </w:p>
    <w:p>
      <w:pPr>
        <w:spacing w:after="120"/>
      </w:pPr>
      <w:r>
        <w:rPr>
          <w:rFonts w:ascii="Calibri" w:hAnsi="Calibri"/>
          <w:b/>
          <w:color w:val="6E8450"/>
          <w:sz w:val="18"/>
        </w:rPr>
        <w:t>GROWTH SLEEVE · 2026-03-27 · Inspire: -49 · INFINITE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Capital Markets · NYSE · United States</w:t>
      </w:r>
    </w:p>
    <w:p>
      <w:pPr>
        <w:spacing w:after="80"/>
      </w:pPr>
      <w:r>
        <w:rPr>
          <w:rFonts w:ascii="Calibri" w:hAnsi="Calibri"/>
          <w:b w:val="0"/>
          <w:color w:val="3A4A28"/>
          <w:sz w:val="20"/>
        </w:rPr>
        <w:t>The Charles Schwab Corporation is a savings and loan holding company providing wealth management, securities brokerage, banking, asset management, custody, and financial advisory services. With $12 trillion in client assets and 38.9 million active brokerage accounts, Schwab is the largest publicly traded U.S. brokerage firm.</w:t>
      </w:r>
    </w:p>
    <w:p>
      <w:r>
        <w:rPr>
          <w:rFonts w:ascii="Calibri" w:hAnsi="Calibri"/>
          <w:b/>
          <w:color w:val="6E8450"/>
          <w:sz w:val="18"/>
        </w:rPr>
        <w:t>33,000 Employees · https://www.schwab.com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Schwab has deployed 220+ AI use cases across the enterprise, from treasury management to client servicing, generating measurable cost and efficiency savings under CEO Wurster's 'Schwab 2.0' tech-centric strategy [1][2]. The company is adding 1 million new brokerage accounts per quarter, reaching 38.9 million total, while growing client assets 18.9% YoY to $12.22 trillion [1]. The TD Ameritrade integration is complete, creating a platform with unmatched scale for future technology deployment. Wurster's focus on 'agentic AI' for next-generation client interfaces signals forward-looking innovation intent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Schwab has nurtured a 'client-first' innovation culture for decades, with founder Charles Schwab still serving as board chairman, providing a living connection to the company's disruptive origins [2]. The Harvard Business collaboration on Advanced LEAD and Elevate programs achieved 95% participation rates, fostering leadership resilience and consistent behaviors across the organization [2]. CEO Wurster's promotion from within (President since 2021) demonstrates succession planning and cultural continuity. The zero-advisory-fee robo-advisor shows genuine commitment to democratizing wealth management.</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Schwab delivered record revenue of $6.3B in Q4 2025 (+19% YoY) with 22% annual revenue growth and earnings growing 50%+ in 2025 [1]. Forward P/E of 13.9 is reasonable for a company guiding 9.5-10.5% revenue growth in 2026. Profit margin of 37.0% and ROE of 18.1% are strong financial services metrics [4]. D/E of 115.3% reflects the banking component's leverage structure. The 1.35% dividend yield with 23.2% payout ratio is conservatively covered, though dividend growth has been modest. Revenue growth of 18.9% YoY is exceptional for a company of this scale.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16A34A"/>
          <w:sz w:val="22"/>
        </w:rPr>
        <w:t>INFINITE</w:t>
      </w:r>
      <w:r>
        <w:rPr>
          <w:rFonts w:ascii="Calibri" w:hAnsi="Calibri"/>
          <w:b w:val="0"/>
          <w:color w:val="6E8450"/>
          <w:sz w:val="22"/>
        </w:rPr>
        <w:t xml:space="preserve">      Overall: </w:t>
      </w:r>
      <w:r>
        <w:rPr>
          <w:rFonts w:ascii="Calibri" w:hAnsi="Calibri"/>
          <w:b/>
          <w:color w:val="16A34A"/>
          <w:sz w:val="28"/>
        </w:rPr>
        <w:t>8</w:t>
      </w:r>
      <w:r>
        <w:rPr>
          <w:rFonts w:ascii="Calibri" w:hAnsi="Calibri"/>
          <w:b w:val="0"/>
          <w:color w:val="9DAF88"/>
          <w:sz w:val="18"/>
        </w:rPr>
        <w:t xml:space="preserve"> /10</w:t>
      </w:r>
    </w:p>
    <w:p>
      <w:pPr>
        <w:spacing w:after="120"/>
      </w:pPr>
      <w:r>
        <w:rPr>
          <w:rFonts w:ascii="Calibri" w:hAnsi="Calibri"/>
          <w:b w:val="0"/>
          <w:color w:val="3A4A28"/>
          <w:sz w:val="18"/>
        </w:rPr>
        <w:t>Schwab exemplifies infinite game thinking through its founding mission of democratizing investing, the planned CEO succession from founder to multiple generations of leadership, and a culture that has consistently disrupted its own business model — from commission-free trading to zero-fee robo-advisory — to stay ahead of industry evolution.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Schwab's cause — democratizing investing and making financial services accessible to all — has been consistent since Charles Schwab founded the company and remains authentic under successive leadership [2]. The zero-commission revolution, zero-fee robo-advisor, and branch expansion into underserved communities demonstrate the cause shapes strategic decisions, not just marketing. The 'Great Wealth Transfer' strategy targeting Gen Z and Millennials extends this cause to new generations.</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Advanced LEAD and Elevate leadership programs in collaboration with Harvard Business achieved 95% participation rates, demonstrating deep organizational commitment to talent development [2]. CEO Wurster's internal promotion from President reflects trust-based succession planning, and founder Charles Schwab's continued board role provides cultural continuity. The TD Ameritrade integration — absorbing millions of accounts without major client exodus — tested organizational trust at scale.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Schwab competes against Fidelity, Vanguard, and fintech challengers (Wealthfront, Betterment) with explicit awareness of each competitor's strengths [2]. The company's integrated banking-brokerage model is described as 'weaponizing' its structure against fintech challengers — competitive language, but backed by genuine product innovation. The zero-fee robo-advisor directly addresses Betterment/Wealthfront's value proposition, showing willingness to learn from disruptors.</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Schwab has reinvented itself multiple times: from discount brokerage to full-service, from commission-based to zero-commission, from organic growth to the transformative TD Ameritrade merger, and now from traditional to AI-powered advisory [2]. Each transformation required abandoning a profitable model for a more sustainable one. CEO Wurster's 'Schwab 2.0' vision targeting the Great Wealth Transfer represents the current reinvention cycle.</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Schwab pioneered zero-commission trading in 2019, sacrificing significant near-term revenue for long-term market share — a decision validated by the subsequent TD Ameritrade merger and 50%+ earnings growth [1][2]. The expanded CIO role connecting data infrastructure with business outcomes shows willingness to restructure for AI capability. Maintaining investment in technology and branch expansion during the 2023 banking stress period demonstrated counter-cyclical courage.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Charles Schwab is a wide-moat franchise with $12T+ in client assets growing 18.9% YoY, 38.9M active brokerage accounts adding 1M per quarter, and record revenue of $6.3B in Q4 2025 with 22% annual growth [1]. CEO Wurster's 'Schwab 2.0' strategy deploys 220+ AI use cases while targeting the Great Wealth Transfer to Gen Z and Millennials [2]. At 13.9x forward P/E with 37% profit margins and 18.1% ROE, Schwab offers growth at a reasonable price. Morningstar projects 10% revenue CAGR and 14.4% EPS CAGR over the next decade, with a $111 fair value estimate implying meaningful upside [1].</w:t>
      </w:r>
    </w:p>
    <w:p>
      <w:pPr>
        <w:spacing w:after="120"/>
      </w:pPr>
      <w:r>
        <w:rPr>
          <w:rFonts w:ascii="Calibri" w:hAnsi="Calibri"/>
          <w:b w:val="0"/>
          <w:color w:val="3A4A28"/>
          <w:sz w:val="20"/>
        </w:rPr>
        <w:t>The bear case includes slowing client cash recovery from the 2023-2024 cash sorting episode, which Morningstar flagged as the 'only gripe' in otherwise strong results [1]. The stock's decline from $97.61 (50-day SMA) to $94.47 reflects market concerns about interest rate cuts compressing NIM. D/E of 115.3% reflects banking leverage that amplifies any credit quality deterioration. Competition from Fidelity's zero-fee index funds and Robinhood's younger demographic capture could limit Schwab's organic growth rate. If equity markets decline significantly, AUM-driven fee revenue would compress, and trading activity could slow.</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Q1 2026 total revenues expected to grow ~16% from prior year driven by 'strong client engagement across trading, wealth and lending solutions' [1]</w:t>
      </w:r>
    </w:p>
    <w:p>
      <w:pPr>
        <w:spacing w:before="40" w:after="40"/>
        <w:ind w:left="283"/>
      </w:pPr>
      <w:r>
        <w:rPr>
          <w:rFonts w:ascii="Calibri" w:hAnsi="Calibri"/>
          <w:b/>
          <w:color w:val="4A6B25"/>
          <w:sz w:val="20"/>
        </w:rPr>
        <w:t xml:space="preserve">2. </w:t>
      </w:r>
      <w:r>
        <w:rPr>
          <w:rFonts w:ascii="Calibri" w:hAnsi="Calibri"/>
          <w:b w:val="0"/>
          <w:color w:val="3A4A28"/>
          <w:sz w:val="20"/>
        </w:rPr>
        <w:t>220+ AI use cases driving cost savings with agentic AI development positioning Schwab for next-generation advisory client interfaces [2]</w:t>
      </w:r>
    </w:p>
    <w:p>
      <w:pPr>
        <w:spacing w:before="40" w:after="40"/>
        <w:ind w:left="283"/>
      </w:pPr>
      <w:r>
        <w:rPr>
          <w:rFonts w:ascii="Calibri" w:hAnsi="Calibri"/>
          <w:b/>
          <w:color w:val="4A6B25"/>
          <w:sz w:val="20"/>
        </w:rPr>
        <w:t xml:space="preserve">3. </w:t>
      </w:r>
      <w:r>
        <w:rPr>
          <w:rFonts w:ascii="Calibri" w:hAnsi="Calibri"/>
          <w:b w:val="0"/>
          <w:color w:val="3A4A28"/>
          <w:sz w:val="20"/>
        </w:rPr>
        <w:t>Great Wealth Transfer strategy targeting Gen Z and Millennials through expanded alternative investment platform, crypto offerings, and AI-powered robo-advisory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Client cash recovery pace remains 'sluggish' despite overall strong results, and interest rate cuts could compress net interest margins below expectations [1]</w:t>
      </w:r>
    </w:p>
    <w:p>
      <w:pPr>
        <w:spacing w:before="40" w:after="40"/>
        <w:ind w:left="283"/>
      </w:pPr>
      <w:r>
        <w:rPr>
          <w:rFonts w:ascii="Calibri" w:hAnsi="Calibri"/>
          <w:b/>
          <w:color w:val="4A6B25"/>
          <w:sz w:val="20"/>
        </w:rPr>
        <w:t xml:space="preserve">2. </w:t>
      </w:r>
      <w:r>
        <w:rPr>
          <w:rFonts w:ascii="Calibri" w:hAnsi="Calibri"/>
          <w:b w:val="0"/>
          <w:color w:val="3A4A28"/>
          <w:sz w:val="20"/>
        </w:rPr>
        <w:t>Equity market correction risk — a 20%+ market decline would directly impact $12T+ in client AUM, reducing fee revenue and potentially slowing account growth</w:t>
      </w:r>
    </w:p>
    <w:p>
      <w:pPr>
        <w:spacing w:before="40" w:after="40"/>
        <w:ind w:left="283"/>
      </w:pPr>
      <w:r>
        <w:rPr>
          <w:rFonts w:ascii="Calibri" w:hAnsi="Calibri"/>
          <w:b/>
          <w:color w:val="4A6B25"/>
          <w:sz w:val="20"/>
        </w:rPr>
        <w:t xml:space="preserve">3. </w:t>
      </w:r>
      <w:r>
        <w:rPr>
          <w:rFonts w:ascii="Calibri" w:hAnsi="Calibri"/>
          <w:b w:val="0"/>
          <w:color w:val="3A4A28"/>
          <w:sz w:val="20"/>
        </w:rPr>
        <w:t>Competition from Fidelity's zero-fee index funds and Robinhood's younger demographic penetration could cap Schwab's organic growth rate below the 5% target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Financial services face AI disruption risk from robo-advisors and fintech, but Schwab has turned this threat into an advantage by offering its own zero-fee robo-advisor while maintaining human advisory capabilities [2]. The 220+ AI use cases and expanded CIO role signal deep organizational AI adoption. Schwab's $12T+ in client assets creates a proprietary data advantage that AI enhances rather than threatens [2]. The company's integrated banking-brokerage-advisory model creates switching costs that pure fintech challengers cannot replicate. Regulatory moats and trust-based relationships provide additional structural protection.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Charles Schwab Q4 2025 Record Earnings Release and 2026 Guidance, January 2026</w:t>
      </w:r>
    </w:p>
    <w:p>
      <w:pPr>
        <w:spacing w:before="20" w:after="20"/>
        <w:ind w:left="170"/>
      </w:pPr>
      <w:r>
        <w:rPr>
          <w:rFonts w:ascii="Calibri" w:hAnsi="Calibri"/>
          <w:b/>
          <w:color w:val="4A6B25"/>
          <w:sz w:val="15"/>
        </w:rPr>
        <w:t xml:space="preserve">2. </w:t>
      </w:r>
      <w:r>
        <w:rPr>
          <w:rFonts w:ascii="Calibri" w:hAnsi="Calibri"/>
          <w:b w:val="0"/>
          <w:color w:val="3A4A28"/>
          <w:sz w:val="17"/>
        </w:rPr>
        <w:t>Charles Schwab AI Strategy, CEO Rick Wurster leadership, and Harvard Business programs, accessed March 2026</w:t>
      </w:r>
    </w:p>
    <w:p>
      <w:pPr>
        <w:spacing w:before="20" w:after="20"/>
        <w:ind w:left="170"/>
      </w:pPr>
      <w:r>
        <w:rPr>
          <w:rFonts w:ascii="Calibri" w:hAnsi="Calibri"/>
          <w:b/>
          <w:color w:val="4A6B25"/>
          <w:sz w:val="15"/>
        </w:rPr>
        <w:t xml:space="preserve">3. </w:t>
      </w:r>
      <w:r>
        <w:rPr>
          <w:rFonts w:ascii="Calibri" w:hAnsi="Calibri"/>
          <w:b w:val="0"/>
          <w:color w:val="3A4A28"/>
          <w:sz w:val="17"/>
        </w:rPr>
        <w:t>Charles Schwab ESG and sustainability materials, accessed March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SCHW key statistics, accessed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