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SCI</w:t>
      </w:r>
      <w:r>
        <w:rPr>
          <w:rFonts w:ascii="Calibri" w:hAnsi="Calibri"/>
          <w:b/>
          <w:color w:val="1A2010"/>
          <w:sz w:val="40"/>
        </w:rPr>
        <w:t xml:space="preserve">  Service Corporation International</w:t>
      </w:r>
    </w:p>
    <w:p>
      <w:pPr>
        <w:spacing w:after="120"/>
      </w:pPr>
      <w:r>
        <w:rPr>
          <w:rFonts w:ascii="Calibri" w:hAnsi="Calibri"/>
          <w:b/>
          <w:color w:val="6E8450"/>
          <w:sz w:val="18"/>
        </w:rPr>
        <w:t>GROWTH SLEEVE · 2026-05-04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NYSE · United States</w:t>
      </w:r>
    </w:p>
    <w:p>
      <w:pPr>
        <w:spacing w:after="80"/>
      </w:pPr>
      <w:r>
        <w:rPr>
          <w:rFonts w:ascii="Calibri" w:hAnsi="Calibri"/>
          <w:b w:val="0"/>
          <w:color w:val="3A4A28"/>
          <w:sz w:val="20"/>
        </w:rPr>
        <w:t>Service Corporation International is North America's largest provider of deathcare products and services, operating funeral homes, cemeteries, and crematoria across the United States and Canada. The company serves families through brands including Dignity Memorial, Neptune Society, and National Cremation Society, offering funeral services, cemetery property, cremation, and pre-need planning.</w:t>
      </w:r>
    </w:p>
    <w:p>
      <w:r>
        <w:rPr>
          <w:rFonts w:ascii="Calibri" w:hAnsi="Calibri"/>
          <w:b/>
          <w:color w:val="6E8450"/>
          <w:sz w:val="18"/>
        </w:rPr>
        <w:t>25,000 Employees · https://www.sci-corp.com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SCI has executed a steady acquisition-driven consolidation strategy, completing targeted funeral home and cemetery acquisitions over the past 5 years to strengthen its market-leading position, but this represents incremental expansion rather than product innovation or business model transformation [1]. AI Deployment (0/2): No evidence of AI-powered products or quantifiable AI-driven savings; the funeral industry broadly lacks AI innovation, and SCI's communications do not reference AI deployment [2]. Market Share (1/2): SCI is the dominant funeral services company in North America with ~16% market share in a highly fragmented industry, operating as part of a quasi-oligopoly, though share gains are achieved through acquisition rather than organic competitive dynamics [2]. Pipeline (1/2): Pre-need cemetery sales production growing 10% in 2026, and the company projects cemetery revenue growth of 7%, representing visible near-term revenue trajectory. However, these are growth targets within the existing model, not new product categories [1]. R&amp;D Intensity (0/1): Funeral services has minimal R&amp;D spend; SCI invests in facility maintenance and digital planning tools but no meaningful R&amp;D as a percentage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SCI's Dignity Memorial brand positions its purpose as helping families honor life and create meaningful memorials, which is clear and service-oriented but common among funeral service providers [2]. The company articulates a commitment to celebrating life, though the mission doesn't differentiate sharply from competitors. Community Impact (1/2): SCI employs 25,000 people and serves communities across North America through essential services; the Dignity Memorial network provides grief support resources and charitable bereavement programs, though specific dollar amounts for community investment are limited [2]. Employee Retention (1/2): Glassdoor rating of 3.1/5 is below average, with mixed reviews citing good benefits and training but complaints about low pay, poor management, and limited advancement opportunities. Average retention for the industry [2]. Insider Buying (1/2): CEO Tom Ryan has 21+ years of tenure and $11.77M total compensation heavily weighted toward stock (89.8% in equity), demonstrating significant skin in the game through long-term equity exposure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SCI demonstrates solid financial fundamentals with $4.33B revenue, 33.1% ROE, and forward P/E of 17.4x — all strong metrics for a mature services company [3]. Q1 2026 revenue grew 2.1% to $1.10B with adjusted EPS of $0.97, and management reaffirmed FY2026 EPS guidance of $4.05-$4.35 with $1.0-$1.06B adjusted operating cash flow [1]. The primary weakness is D/E of 325.7%, exceeding the 300% floor due to SCI's acquisition-driven capital structure and high debt load of $5.16B [3]. Profit margin of 12.4% and PEG of 1.57 are moderate. The company generates $369M free cash flow and $965M operating cash flow, supporting the dividend and share repurchases despite the leveraged balance sheet [3]. Liquidity floor cleared: 1.25M avg volume x $79.78 = $99.8M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SCI under CEO Tom Ryan (21+ year tenure) demonstrates meaningful infinite game elements — patient long-term consolidation of a fragmented industry, consistent capital allocation toward acquisitions and returns, and a demographic tailwind that rewards patience. However, the finite-game acquisition strategy focused on market share dominance, declining funeral volumes, and a leveraged balance sheet optimized for current returns partially offset the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SCI's purpose of helping families honor and celebrate life during their most difficult moments is genuinely service-oriented and enduring — death care is perhaps the most inherently meaningful industry. The Dignity Memorial brand reinforces this cause. However, the company's strategic communications emphasize market share, EPS guidance, and shareholder returns more than the cause itself, suggesting the mission is genuine but not the primary driver of strategic decisions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Tom Ryan's 21+ year tenure provides exceptional leadership continuity, and the company employs 25,000 people across thousands of locations [2]. However, Glassdoor's 3.1/5 rating with complaints about 'terrible managers,' low pay, and limited advancement suggests trust varies significantly by location. The decentralized funeral home model means culture is inconsistent — some locations are high-trust, others are not.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SCI operates as the dominant player in funeral services and frames competition primarily through acquisition — buying competitors rather than learning from them [2]. The company's competitive language focuses on market share consolidation and operational leverage rather than improvement driven by rivalry. The approach to startups entering the space appears to be 'acquire or ignore' rather than 'learn and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SCI has adapted to the cremation trend — with cremation rates rising from ~25% to over 60% in the US — by acquiring Neptune Society and National Cremation Society, rather than clinging to traditional burial [2]. The shift to pre-need sales represents incremental business model evolution. However, these are reactive adaptations to industry trends, not proactive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SCI has maintained its acquisition and capital return strategy through multiple economic cycles, including continued investment during COVID (when funeral volumes spiked) and the post-COVID normalization period [1]. Reaffirming $1.0-1.06B cash flow guidance while funeral volumes decline 1-3% shows confidence in the pre-need and cremation pivot. However, the highly leveraged balance sheet (325% D/E) optimizes for current returns rather than long-term financial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 Corporation International is the dominant death care operator in North America with a durable, recession-resistant business model and demographic tailwinds from an aging population. Q1 2026 revenue of $1.10B (up 2.1%) with reaffirmed FY2026 EPS guidance of $4.05-$4.35 and $1.0-$1.06B operating cash flow demonstrate stable execution [1]. At 17.4x forward P/E with 33.1% ROE and $369M free cash flow, SCI offers reasonable valuation for a high-quality defensive business. Pre-need cemetery sales growing 10% and cemetery revenue growth of 7% provide visible forward revenue, while the acquisition pipeline continues to consolidate a fragmented industry [1]. The 1.7% dividend yield with 34.8% payout ratio is well-covered and growing (up 13% YoY).</w:t>
      </w:r>
    </w:p>
    <w:p>
      <w:pPr>
        <w:spacing w:after="120"/>
      </w:pPr>
      <w:r>
        <w:rPr>
          <w:rFonts w:ascii="Calibri" w:hAnsi="Calibri"/>
          <w:b w:val="0"/>
          <w:color w:val="3A4A28"/>
          <w:sz w:val="20"/>
        </w:rPr>
        <w:t>The bear case centers on leverage and volume headwinds. D/E of 325.7% and $5.16B total debt create financial fragility if interest rates remain elevated or acquisitions underperform [3]. Funeral volumes are projected to decline 1-3% in FY2026, and the long-term cremation shift compresses average revenue per service despite SCI's premium positioning [1]. Revenue growth of just 2.1% YoY is anemic for a growth-classified stock, and the company relies on price increases and pre-need sales to offset volume declines. The funeral industry faces secular disruption from changing consumer preferences — direct cremation, green burial, and celebration-of-life alternatives that bypass traditional funeral homes. SCI's acquisition-dependent growth model requires continued access to cheap debt, which is not guaranteed in the current rate environment. The stock's 10% decline from its 52-week high of $88.67 may signal market concern about the growth runway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Pre-need cemetery sales production growing 10% in 2026, driving 7% cemetery revenue growth and providing deferred revenue visibility for future periods [1]</w:t>
      </w:r>
    </w:p>
    <w:p>
      <w:pPr>
        <w:spacing w:before="40" w:after="40"/>
        <w:ind w:left="283"/>
      </w:pPr>
      <w:r>
        <w:rPr>
          <w:rFonts w:ascii="Calibri" w:hAnsi="Calibri"/>
          <w:b/>
          <w:color w:val="4A6B25"/>
          <w:sz w:val="20"/>
        </w:rPr>
        <w:t xml:space="preserve">2. </w:t>
      </w:r>
      <w:r>
        <w:rPr>
          <w:rFonts w:ascii="Calibri" w:hAnsi="Calibri"/>
          <w:b w:val="0"/>
          <w:color w:val="3A4A28"/>
          <w:sz w:val="20"/>
        </w:rPr>
        <w:t>Acquisition pipeline in a fragmented industry — SCI can acquire independent funeral homes at favorable multiples as aging owners retire [2]</w:t>
      </w:r>
    </w:p>
    <w:p>
      <w:pPr>
        <w:spacing w:before="40" w:after="40"/>
        <w:ind w:left="283"/>
      </w:pPr>
      <w:r>
        <w:rPr>
          <w:rFonts w:ascii="Calibri" w:hAnsi="Calibri"/>
          <w:b/>
          <w:color w:val="4A6B25"/>
          <w:sz w:val="20"/>
        </w:rPr>
        <w:t xml:space="preserve">3. </w:t>
      </w:r>
      <w:r>
        <w:rPr>
          <w:rFonts w:ascii="Calibri" w:hAnsi="Calibri"/>
          <w:b w:val="0"/>
          <w:color w:val="3A4A28"/>
          <w:sz w:val="20"/>
        </w:rPr>
        <w:t>Aging US population demographics creating a structural tailwind for death care volumes over the next 10-20 years as Baby Boomers enter peak mortality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Highly leveraged balance sheet with 325.7% D/E and $5.16B debt creates refinancing risk in a higher-rate environment and limits financial flexibility for acquisitions [3]</w:t>
      </w:r>
    </w:p>
    <w:p>
      <w:pPr>
        <w:spacing w:before="40" w:after="40"/>
        <w:ind w:left="283"/>
      </w:pPr>
      <w:r>
        <w:rPr>
          <w:rFonts w:ascii="Calibri" w:hAnsi="Calibri"/>
          <w:b/>
          <w:color w:val="4A6B25"/>
          <w:sz w:val="20"/>
        </w:rPr>
        <w:t xml:space="preserve">2. </w:t>
      </w:r>
      <w:r>
        <w:rPr>
          <w:rFonts w:ascii="Calibri" w:hAnsi="Calibri"/>
          <w:b w:val="0"/>
          <w:color w:val="3A4A28"/>
          <w:sz w:val="20"/>
        </w:rPr>
        <w:t>Secular cremation shift compressing average revenue per service — cremation rates exceeding 60% mean fewer full-service funeral revenue opportunities [1]</w:t>
      </w:r>
    </w:p>
    <w:p>
      <w:pPr>
        <w:spacing w:before="40" w:after="40"/>
        <w:ind w:left="283"/>
      </w:pPr>
      <w:r>
        <w:rPr>
          <w:rFonts w:ascii="Calibri" w:hAnsi="Calibri"/>
          <w:b/>
          <w:color w:val="4A6B25"/>
          <w:sz w:val="20"/>
        </w:rPr>
        <w:t xml:space="preserve">3. </w:t>
      </w:r>
      <w:r>
        <w:rPr>
          <w:rFonts w:ascii="Calibri" w:hAnsi="Calibri"/>
          <w:b w:val="0"/>
          <w:color w:val="3A4A28"/>
          <w:sz w:val="20"/>
        </w:rPr>
        <w:t>Funeral volume decline of 1-3% projected for FY2026 reflects COVID pull-forward normalization and could persist longer than expected, pressuring topline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SCI's core business — funeral services, cemetery operations, cremation, and pre-need planning — is structurally immune to AI disruption [2]. Death care requires physical facilities (funeral homes, cemeteries, crematoria), licensed professionals (funeral directors, embalmers), and deeply personal human interactions during grief that AI cannot replicate. The industry is regulated at the state level with licensing requirements that create legal barriers to AI substitution. AI cannot conduct a funeral service, prepare a body, operate a crematorium, or maintain a cemetery. If anything, an aging population demographic tailwind makes SCI's services more essential over time. AI Opportunity (0/1): SCI does not generate revenue from AI products or services; the company's digital tools for pre-need planning and memorial tributes are traditional web applications, not AI-powered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Corporation International Q1 2026 Earnings Call — $1.10B revenue, $0.97 EPS, FY2026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Service Corporation International corporate website, Glassdoor reviews (3.1/5 rating), Great Place to Work, Comparably — leadership and culture data</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SCI — financial metrics, market data, accessed May 4, 2026</w:t>
      </w:r>
    </w:p>
    <w:p>
      <w:pPr>
        <w:spacing w:before="20" w:after="20"/>
        <w:ind w:left="170"/>
      </w:pPr>
      <w:r>
        <w:rPr>
          <w:rFonts w:ascii="Calibri" w:hAnsi="Calibri"/>
          <w:b/>
          <w:color w:val="4A6B25"/>
          <w:sz w:val="15"/>
        </w:rPr>
        <w:t xml:space="preserve">4. </w:t>
      </w:r>
      <w:r>
        <w:rPr>
          <w:rFonts w:ascii="Calibri" w:hAnsi="Calibri"/>
          <w:b w:val="0"/>
          <w:color w:val="3A4A28"/>
          <w:sz w:val="17"/>
        </w:rPr>
        <w:t>PRNewswire — SCI Q4 2025 results and 2026 guidance,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