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SCNX</w:t>
      </w:r>
      <w:r>
        <w:rPr>
          <w:rFonts w:ascii="Calibri" w:hAnsi="Calibri"/>
          <w:b/>
          <w:color w:val="1A2010"/>
          <w:sz w:val="40"/>
        </w:rPr>
        <w:t xml:space="preserve">  Scienture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30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Pharmaceutical Retailers · NCM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Scienture Holdings is a micro-cap pharmaceutical company focused on specialty pharmaceutical products. The company has minimal operations with only 4 employees.</w:t>
      </w:r>
    </w:p>
    <w:p>
      <w:r>
        <w:rPr>
          <w:rFonts w:ascii="Calibri" w:hAnsi="Calibri"/>
          <w:b/>
          <w:color w:val="6E8450"/>
          <w:sz w:val="18"/>
        </w:rPr>
        <w:t>4 Employees · https://scienture.com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No meaningful product launches or revenue generation evident with only 4 employees [1]. AI Deployment (0/2): None. Market Share (0/2): Negligible presence. Pipeline (1/2): Some pharmaceutical development activity but vague. R&amp;D Intensity (0/1): Minimal absolute R&amp;D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Generic pharmaceutical mission. Community Impact (0/2): None at this scale. Employee Retention (0/2): 4 employees with no data. Insider Buying (0/2): No significant insider activity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avg_daily_volume (3,445,343) × stock_price ($0.323) = $1.11M. This barely clears the floor. However, underlying metrics are extremely poor: D/E of 0.03% but ROE of -55.6% and profit margin of 0% indicate a pre-revenue shell with no viable business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Scienture operates as a minimal-viable pharmaceutical holding company with no evidence of infinite game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cause (0 pts → 1/10)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4 employees, no data (0 pts → 2/10)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competitive awareness (0 pts → 3/10)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(0 pts → 2/10)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(0 pts → 2/10)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SCNX is a micro-cap penny stock with 4 employees and a $13M market cap, essentially a pharmaceutical shell company with negligible operations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stock is uninvestable for IOWN purposes — negative ROE, no revenue, no meaningful operations, and penny stock pricing create extreme risk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Potential pharmaceutical product launch or licensing deal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Acquisition by a larger pharmaceutical company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Regulatory approval of any pipeline candidates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Existential risk — 4-employee company with no revenue may face delisting or insolvency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Dilution risk from likely equity raises needed to fund any operations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Zero competitive moat in pharmaceutical development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Pharmaceutical development faces moderate AI exposure — AI drug discovery tools could both accelerate and commoditize the development process [1]. At this scale, the company lacks any defensive moat. AI Opportunity (0/1): No AI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SCNX (Scienture),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