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SDGR</w:t>
      </w:r>
      <w:r>
        <w:rPr>
          <w:rFonts w:ascii="Calibri" w:hAnsi="Calibri"/>
          <w:b/>
          <w:color w:val="1A2010"/>
          <w:sz w:val="40"/>
        </w:rPr>
        <w:t xml:space="preserve">  Schrödinger, Inc.</w:t>
      </w:r>
    </w:p>
    <w:p>
      <w:pPr>
        <w:spacing w:after="120"/>
      </w:pPr>
      <w:r>
        <w:rPr>
          <w:rFonts w:ascii="Calibri" w:hAnsi="Calibri"/>
          <w:b/>
          <w:color w:val="6E8450"/>
          <w:sz w:val="18"/>
        </w:rPr>
        <w:t>GROWTH SLEEVE · 2026-04-28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Schrödinger, Inc. develops a physics-based computational platform that enables discovery of novel molecules for drug development and materials applications. Operating through Software and Drug Discovery segments, the company sells simulation software to all top 20 pharmaceutical companies and maintains a proprietary pipeline of clinical-stage drug candidates. Founded in 1990, the company combines physics-based modeling with AI to evaluate millions of molecular candidates, and is headquartered in New York, New York.</w:t>
      </w:r>
    </w:p>
    <w:p>
      <w:r>
        <w:rPr>
          <w:rFonts w:ascii="Calibri" w:hAnsi="Calibri"/>
          <w:b/>
          <w:color w:val="6E8450"/>
          <w:sz w:val="18"/>
        </w:rPr>
        <w:t>850 Employees · https://www.schrodinger.com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Schrödinger has evolved from a niche computational chemistry software provider into a dual-model company with both a leading software platform and a proprietary drug discovery pipeline over the past five years. Partnership successes with Nimbus Therapeutics (which sold its TYK2 inhibitor to Takeda for up to $6B) and Morphic Therapeutic validated the platform's drug discovery capability [2]. The transition to a hosted software model and expansion of the drug discovery segment represent meaningful business model evolution. AI Deployment (2/2): Schrödinger's entire business is built on AI and physics-based computational modeling. The platform uses AI alongside physics-based simulations to evaluate millions of molecules in days compared to thousands traditionally synthesized in a year [2]. The company launched a Predictive Toxicology solution covering ~50 kinases and published 20 peer-reviewed papers in 2025, demonstrating production-scale AI deployment with measurable scientific output [1]. Market Share (2/2): Schrödinger is the dominant leader in physics-based computational drug discovery software — all top 20 pharmaceutical companies are customers [2]. CEO Ramy Farid has compared their competitive position to Pixar's in animation, and NVIDIA's Jensen Huang reportedly told Schrödinger to 'think bigger,' underscoring the platform's perceived leadership [2]. Product Pipeline (1/2): SGR-1505 (MALT-1 inhibitor) and SGR-3515 (Wee1/Myt1 inhibitor) are in Phase 1 clinical trials with data expected in 2026, and strategic agreements with Eli Lilly and Manas AI extend the platform's reach [1]. R&amp;D Intensity (1/1): With 58% of employees holding PhDs and the company investing heavily in both software R&amp;D and drug discovery programs, R&amp;D intensity far exceeds industry norms for a software/services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Schrödinger's mission to 'transform the way therapeutics and materials are discovered' through physics-based computation is specific, thoughtful, and reflects genuine intentionality dating back to the company's 1990 founding [2]. CEO Ramy Farid's consistent articulation of physics-based modeling as foundational to drug discovery — and his public stance that 'AI drug discovery won't work unless physics-based calculations are part of the picture' — demonstrates a deeply held scientific conviction that shapes strategy. This is closer to a validated Just Cause than a marketing statement, though the full validation awaits clinical drug approvals. Community Impact (0/2): No evidence of significant charitable programs or community investment beyond standard corporate practices was found. The company publishes a Corporate Sustainability Report but without distinctive philanthropic initiatives [3]. Employee Retention (1/2): The company's workforce is 58% PhD holders, suggesting a highly mission-driven culture where scientists stay for the intellectual challenge and scientific purpose [2]. CEO Ramy Farid has led the company since its founding era, and the leadership fosters collaboration between scientists and technologists. However, specific retention metrics or turnover data were not found. Insider Buying (1/2): No evidence of significant net insider buying was found, though CEO Farid and the founding team maintain meaningful equity stakes reflecting long-term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Schrödinger's financial profile reflects a pre-profit growth company investing heavily in drug discovery. D/E of 30.0% is very conservative, with $395M cash against $109M debt providing substantial runway [4]. ROE of -26.3% is negative, reflecting the company's unprofitability as it invests in clinical programs. Revenue growth YoY of -1.2% masks the underlying dynamics: software ACV is growing 10-15% annually, while drug discovery revenue is inherently lumpy ($56.4M in 2025 vs. guidance of $55-65M for 2026) [1]. The 5-year revenue CAGR of ~18.2% reflects strong long-term growth from $111M in 2020 to $256M in 2025 [1]. Profit margin of -40.4% reflects ongoing investment in clinical programs (SGR-1505, SGR-3515) with management targeting positive adjusted EBITDA by end of 2028 [1]. Forward P/E is negative (unprofitable) and PEG is unavailable. Liquidity floor cleared: 1.46M avg volume × $11.74 = $17.1M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Schrödinger demonstrates strong infinite game characteristics rooted in CEO Ramy Farid's three-decade commitment to physics-based computational drug discovery. The company's founding conviction that physics and computation can transform molecular discovery has been held consistently since 1990 and is now being validated by industry adoption and partnership successes. The willingness to invest in unprofitable drug discovery programs to prove the platform's capability reflects genuine courage to lead. However, the company's small scale and unproven clinical pipeline mean the full validation of its Just Cause remains ahead.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Schrödinger's Just Cause — transforming drug discovery through physics-based computation — is one of the more genuine causes in the biotech/technology space. Founded in 1990, the company has held this conviction for over 35 years through multiple market cycles, long before AI drug discovery became fashionable [2]. CEO Farid's public stance that physics must underpin AI drug discovery is not marketing — it's a deeply held scientific conviction that has shaped every strategic decision. The Nimbus/Takeda validation ($6B deal for a Schrödinger-enabled molecule) provides early evidence that the cause is bearing fruit. However, full validation requires the proprietary clinical pipeline (SGR-1505, SGR-3515) to succeed, which remains unproven.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Schrödinger's workforce of 58% PhD holders suggests a highly scientific, mission-driven culture where intellectual contribution is valued [2]. CEO Farid has led the company for decades, providing exceptional leadership continuity. The company's cross-functional model — where physicists, chemists, and software engineers collaborate on molecular discovery — requires high trust and psychological safety. However, with only 850 employees, the company is small enough that culture may be driven by the founder rather than systematically embedded. No specific employee satisfaction or retention data was found.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Schrödinger acknowledges the broader AI drug discovery ecosystem without framing competition in zero-sum terms. CEO Farid's framing of physics-based approaches as complementary to and necessary for AI — rather than competitive with AI — reflects intellectual honesty about where the field is heading [2]. The company's partnerships with NVIDIA and collaborations with pharma companies demonstrate openness to working with others to advance the field. The Manas AI partnership shows willingness to collaborate with potential competitors.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Schrödinger's evolution from a pure computational chemistry software company to a dual-model company with its own drug discovery pipeline represents meaningful strategic flexibility [1]. The decision to risk the software company's reputation by entering drug discovery — where clinical failure is common — shows willingness to evolve the business model in service of proving the platform's ultimate value. The transition from on-premise to hosted software delivery is another significant business model shift [1]. However, these are evolutionary additions rather than abandonment of a profitable core business.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Schrödinger demonstrates exceptional courage to lead. The company has invested hundreds of millions in drug discovery programs (contributing to -40% net margins) to prove that its computational platform can discover drugs, not just sell software to companies that discover drugs [1]. This is a costly, high-risk bet that sacrifices near-term profitability for long-term platform validation. The decision to maintain heavy R&amp;D investment while targeting EBITDA profitability only by 2028 shows willingness to prioritize capability over earnings. The Eli Lilly partnership and proprietary pipeline advancement through clinical trials represent bets where failure is existential [1]. Score: 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Schrödinger represents a high-conviction bet on the future of computational drug discovery, with the only platform adopted by all top 20 pharmaceutical companies and a proprietary clinical pipeline that could validate the technology's drug discovery potential. The software segment generates $200M+ in annual revenue with 10-15% ACV growth guidance, while the drug discovery segment contributed $56.4M in 2025 with partnerships including Eli Lilly [1]. The balance sheet is strong with $395M cash against $109M debt, providing multi-year runway to achieve the 2028 EBITDA profitability target. The 5-year revenue CAGR of 18.2% reflects genuine platform adoption momentum, and the Nimbus/Takeda validation ($6B deal) demonstrates that Schrödinger-enabled molecules can produce transformative value for pharma partners [2].</w:t>
      </w:r>
    </w:p>
    <w:p>
      <w:pPr>
        <w:spacing w:after="120"/>
      </w:pPr>
      <w:r>
        <w:rPr>
          <w:rFonts w:ascii="Calibri" w:hAnsi="Calibri"/>
          <w:b w:val="0"/>
          <w:color w:val="3A4A28"/>
          <w:sz w:val="20"/>
        </w:rPr>
        <w:t>The bear case is substantial and centers on persistent unprofitability and clinical risk. Net margins of -40% with no projected profitability until 2028 mean the company is burning cash to fund drug discovery programs that may fail — clinical drug development has a ~90% failure rate, and SGR-1505 and SGR-3515 are early-stage programs [1]. The stock has declined dramatically from its 2021 peak of ~$100 to $11.74, destroying approximately 88% of shareholder value, reflecting the market's skepticism about the path to profitability [4]. Revenue growth turned negative at -1.2% YoY in 2025 despite the software-to-hosted transition, and drug discovery revenue is inherently lumpy and unpredictable. The competitive landscape is intensifying as AlphaFold, generative chemistry, and well-funded AI drug discovery startups (Recursion, Insilico, Isomorphic Labs) challenge Schrödinger's technological differentiation [2]. At $867M market cap with persistent losses, the company requires either a clinical breakthrough or sustained software acceleration to justify continued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clinical data for SGR-3515 (Wee1/Myt1 inhibitor) expected in Q2 2026 and continued SGR-1505 development could validate the platform's proprietary drug discovery capability and unlock significant pipeline value [1]</w:t>
      </w:r>
    </w:p>
    <w:p>
      <w:pPr>
        <w:spacing w:before="40" w:after="40"/>
        <w:ind w:left="283"/>
      </w:pPr>
      <w:r>
        <w:rPr>
          <w:rFonts w:ascii="Calibri" w:hAnsi="Calibri"/>
          <w:b/>
          <w:color w:val="4A6B25"/>
          <w:sz w:val="20"/>
        </w:rPr>
        <w:t xml:space="preserve">2. </w:t>
      </w:r>
      <w:r>
        <w:rPr>
          <w:rFonts w:ascii="Calibri" w:hAnsi="Calibri"/>
          <w:b w:val="0"/>
          <w:color w:val="3A4A28"/>
          <w:sz w:val="20"/>
        </w:rPr>
        <w:t>Software ACV growth guidance of 10-15% for 2026 ($218-228M) with transition to 75% hosted revenue by 2028, enabling recurring revenue expansion and gross margin improvement toward the high-70s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partnerships with Eli Lilly and Manas AI expand platform reach, and universal adoption by top 20 pharma companies provides durable competitive positioning and cross-sell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-40% net margins and no projected EBITDA breakeven until 2028, requiring continued cash consumption to fund clinical programs with high failure probability [1]</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competitive landscape from AlphaFold, generative chemistry platforms, and well-funded AI drug discovery startups that could erode Schrödinger's technological differentiation and pricing power [2]</w:t>
      </w:r>
    </w:p>
    <w:p>
      <w:pPr>
        <w:spacing w:before="40" w:after="40"/>
        <w:ind w:left="283"/>
      </w:pPr>
      <w:r>
        <w:rPr>
          <w:rFonts w:ascii="Calibri" w:hAnsi="Calibri"/>
          <w:b/>
          <w:color w:val="4A6B25"/>
          <w:sz w:val="20"/>
        </w:rPr>
        <w:t xml:space="preserve">3. </w:t>
      </w:r>
      <w:r>
        <w:rPr>
          <w:rFonts w:ascii="Calibri" w:hAnsi="Calibri"/>
          <w:b w:val="0"/>
          <w:color w:val="3A4A28"/>
          <w:sz w:val="20"/>
        </w:rPr>
        <w:t>88% stock price decline from 2021 highs reflects severe erosion of market confidence — any clinical setback or software growth deceleration could push the stock below levels where capital raising becomes dilutive and self-reinforcing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Schrödinger occupies a unique position in the AI landscape — it IS an AI/computational company, so AI disruption risk takes the form of competitive displacement rather than sector disruption. The company's physics-based approach is differentiated from pure-ML competitors, but the barrier to entry in computational drug discovery has lowered as large language models, AlphaFold, and generative chemistry platforms proliferate [2]. Schrödinger faces competitive pressure from well-funded AI drug discovery startups (Recursion, Insilico Medicine, Isomorphic Labs) and from pharma companies building in-house computational capabilities. The company's moat rests on 30+ years of physics-based modeling expertise and universal adoption by top 20 pharma companies, but this moat could erode if newer AI approaches prove more predictive. CEO Farid's insistence that 'AI drug discovery won't work without physics' may prove either visionary or defensive [2]. AI Opportunity (1/1): Schrödinger's entire revenue base ($256M in 2025) is AI-related — the platform combines physics-based simulation with machine learning to accelerate molecular discovery, and all revenue derives from computational tools and AI-enabled drug discovery collaborations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Schrödinger Q4 and Full-Year 2025 Earnings — $255.9M total revenue (+23.3%), software ACV guidance $218-228M for 2026, drug discovery guidance $55-65M, SGR-1505 and SGR-3515 clinical updates, 2028 EBITDA profitability target; Schrödinger IR, Yahoo Finance,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Schrödinger AI and leadership profile — CEO Ramy Farid PhD, physics-based AI drug discovery platform, all top 20 pharma customers, Nimbus/Takeda validation, NVIDIA partnership, 58% PhD workforce; STAT News, GEN, Nanalyze, Hunterbrook, 2024-2026</w:t>
      </w:r>
    </w:p>
    <w:p>
      <w:pPr>
        <w:spacing w:before="20" w:after="20"/>
        <w:ind w:left="170"/>
      </w:pPr>
      <w:r>
        <w:rPr>
          <w:rFonts w:ascii="Calibri" w:hAnsi="Calibri"/>
          <w:b/>
          <w:color w:val="4A6B25"/>
          <w:sz w:val="15"/>
        </w:rPr>
        <w:t xml:space="preserve">3. </w:t>
      </w:r>
      <w:r>
        <w:rPr>
          <w:rFonts w:ascii="Calibri" w:hAnsi="Calibri"/>
          <w:b w:val="0"/>
          <w:color w:val="3A4A28"/>
          <w:sz w:val="17"/>
        </w:rPr>
        <w:t>Schrödinger ESG profile — Corporate Sustainability Report, no major controversies identified; Docoh, CSRHub, company reports,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SDGR (Schrödinger,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