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SEDG</w:t>
      </w:r>
      <w:r>
        <w:rPr>
          <w:rFonts w:ascii="Calibri" w:hAnsi="Calibri"/>
          <w:b/>
          <w:color w:val="1A2010"/>
          <w:sz w:val="40"/>
        </w:rPr>
        <w:t xml:space="preserve">  SolarEdge Technologies, Inc.</w:t>
      </w:r>
    </w:p>
    <w:p>
      <w:pPr>
        <w:spacing w:after="120"/>
      </w:pPr>
      <w:r>
        <w:rPr>
          <w:rFonts w:ascii="Calibri" w:hAnsi="Calibri"/>
          <w:b/>
          <w:color w:val="6E8450"/>
          <w:sz w:val="18"/>
        </w:rPr>
        <w:t>GROWTH SLEEVE · 2026-04-08 · Inspire: 58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NMS · Israel</w:t>
      </w:r>
    </w:p>
    <w:p>
      <w:pPr>
        <w:spacing w:after="80"/>
      </w:pPr>
      <w:r>
        <w:rPr>
          <w:rFonts w:ascii="Calibri" w:hAnsi="Calibri"/>
          <w:b w:val="0"/>
          <w:color w:val="3A4A28"/>
          <w:sz w:val="20"/>
        </w:rPr>
        <w:t>SolarEdge Technologies, Inc. is an energy technology company that designs and manufactures power optimizers, DC-to-AC inverters, and cloud-based monitoring platforms for solar PV systems. Founded in 2006 and headquartered in Herzliya Pituach, Israel, the company also offers home battery storage solutions, EV chargers, and the SolarEdge ONE energy optimization system. It serves residential, commercial, and industrial customers globally through solar installers, distributors, and EPC firms.</w:t>
      </w:r>
    </w:p>
    <w:p>
      <w:r>
        <w:rPr>
          <w:rFonts w:ascii="Calibri" w:hAnsi="Calibri"/>
          <w:b/>
          <w:color w:val="6E8450"/>
          <w:sz w:val="18"/>
        </w:rPr>
        <w:t>3,576 Employees · https://www.solaredge.com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 pioneered DC-coupled power optimizer architecture with module-level power electronics (MLPE), a genuinely disruptive design that displaced traditional string inverters and established the company as the dominant residential solar standard in Europe and the US for over a decade [1]. The upcoming Nexis platform represents a significant next-generation unified hardware/software system targeting residential, commercial, and grid-scale applications with embedded AI-driven energy optimization and bidirectional grid services, demonstrating a credible and differentiated product pipeline [2]. R&amp;D investment has remained a core commitment even through the 2024 restructuring, with management allocating capital to Nexis during a period of severe financial stress — a signal of genuine innovation culture [1]. Market share erosion from Enphase in the US and Chinese manufacturers (Huawei, Sungrow) in Europe during the 2023–2024 crisis is a modest negative, but Nexis and the AI datacenter power adjacency provide realistic paths to re-capturing growth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SolarEdge's mission — accelerating the global shift to clean, renewable energy — is authentic and deeply embedded, backed by an Inspire Impact score of 58 and an ALIGNED designation reflecting strong ESG credentials across 12 positive attributions including GHG emissions reduction, product sustainability, ethical supply chain management, and employee wellbeing [3]. The company scores across a broad range of environmental and social dimensions, signaling that its mission commitment extends well beyond marketing into operational practice [3]. However, the 2024 restructuring involved layoffs exceeding 2,000 employees — roughly one-third of the workforce — which created significant cultural disruption that weighs on retention and morale metrics, and insider buying has remained limited through the recovery period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SolarEdge's infrastructure score reflects a business in financial recovery rather than financial strength: ROE of -74.7% and GAAP profit margin of -34.2% are distorted by restructuring charges and inventory impairments from the 2023–2024 crisis, while forward-looking indicators are improving meaningfully [1]. Debt-to-equity of 94.6% is manageable for the company's asset-light model, and the current ratio of 2.2x with $493M in cash provides solid liquidity runway [1]. FY2025 revenue grew 31% YoY to $1.18B with Q4 2025 up 70% YoY, gross margin expanded to 23.3% in Q4, and free cash flow turned positive at +$235M — all demonstrating that the underlying business is structurally sound even as headline metrics remain stressed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SolarEdge exhibits a strong infinite-game orientation, anchored by an unambiguous just cause in the clean energy transition and demonstrated willingness to absorb multi-year losses rather than abandon long-term platform investments. The company's commitment to developing the Nexis platform through the 2024 crisis — while restructuring for sustainable profitability and pivoting into AI data center power — reflects the existential flexibility and strategic resolve characteristic of infinite-minded operators, despite finite-game pressures manifesting in the scale and speed of 2024 workforce reductions.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SolarEdge's just cause — making clean energy intelligent, affordable, and accessible at scale — is explicit, enduring, and organizationally embedded in product strategy spanning residential rooftops, commercial buildings, EV charging, and grid services [1]. The company's 12 positive ESG attributions from Inspire Insight, including energy management, GHG emissions reduction, and product sustainability, provide third-party validation that the mission drives operational decisions rather than serving purely as marketing language [3]. Management commentary consistently frames the recovery not as an end state but as restoring the organizational capacity to pursue the mission at greater scale through the Nexis era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SolarEdge's culture scores positively on employee wellbeing and ethical management per Inspire Insight data, and the company has maintained strong engineering talent in Israel through the restructuring period [3]. The 2024 workforce reduction of approximately 2,000 employees — one-third of total headcount — introduced significant disruption to team cohesion and created trust deficits that take years to fully repair [1]. The company's ongoing R&amp;D investment and continued product innovation through the Nexis platform suggest core technical teams remained intact and motivated, providing a foundation for cultural recovery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 explicitly benchmarks against Enphase Energy in the microinverter vs. power optimizer architectural debate, a rivalry that has sharpened both companies' product roadmaps for over a decade [1]. The entry of Chinese inverter manufacturers — Huawei, Sungrow, and Ginlong — into Western markets has intensified competitive pressure and forced SolarEdge to clarify its differentiation through superior software intelligence, monitoring capabilities, and installer support [2]. Management's acknowledgment of 'a significantly changed competitive landscape' in earnings commentary reflects honest rival engagement rather than dismissal, a mark of the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 has demonstrated meaningful existential flexibility by expanding from a pure inverter/optimizer company into home batteries, EV charging, grid services, and commercial/industrial solar — substantially broadening its total addressable market without abandoning its core power electronics competency [1]. The pivot toward AI data center power solutions and the architectural reinvention embodied in the Nexis platform signal continued willingness to evolve the business model in response to structural market shifts [2]. The company absorbed a historic revenue collapse in 2023–2024 — free cash flow of negative $421M — and restructured without abandoning its technology platform, a credible demonstration of adaptive capacity under genuine existential pressure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SolarEdge's decision to maintain R&amp;D investment and launch the Nexis platform during severe financial stress — negative gross margins in 2024, $421M negative free cash flow, and significant workforce reductions — reflects genuine courage to lead over short-term optics [1]. Management accepted painful restructuring, exited EV charging, and scaled back storage investments to preserve capital for the Nexis bet rather than harvest the existing product line, demonstrating a willingness to make hard strategic choices under pressure [2]. The explicit guidance toward EBIT profitability in H2 2026 while maintaining strategic investment commitments reflects leadership conviction and a willingness to be held publicly accountable for long-range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SolarEdge is a beaten-down solar technology leader executing a credible multi-year recovery after the worst inventory correction in the residential solar industry's history, with FY2025 revenue up 31% YoY to $1.18B, Q4 2025 gross margin expanding to 23.3%, and free cash flow turning decisively positive at +$235M [1][2]. The company has demonstrated that its business model is fundamentally sound — the 2023–2024 collapse was cyclical and operational rather than structural — and the Nexis platform launch provides a genuine next-generation growth driver with differentiated architecture and AI-embedded energy optimization capabilities [2]. The AI data center electricity demand boom is an emerging and underappreciated structural tailwind, as hyperscalers accelerating solar procurement create a growing market for SolarEdge's advanced DC power management systems in a customer segment with higher margins and longer-term contracts than residential [2].</w:t>
      </w:r>
    </w:p>
    <w:p>
      <w:pPr>
        <w:spacing w:after="120"/>
      </w:pPr>
      <w:r>
        <w:rPr>
          <w:rFonts w:ascii="Calibri" w:hAnsi="Calibri"/>
          <w:b w:val="0"/>
          <w:color w:val="3A4A28"/>
          <w:sz w:val="20"/>
        </w:rPr>
        <w:t>The key risk to the thesis is execution: Forward P/E of 23.8x prices in a recovery that must materialize in 2026, and profit margin remains deeply negative at -34.2% with no near-term path to GAAP profitability [1]. Competitive intensity from Chinese manufacturers in Europe and Enphase in the US has permanently altered market dynamics, and SolarEdge must demonstrate that Nexis can recapture installer confidence rather than simply stabilizing the existing base [1]. At $43.85, the stock appears fairly valued for patient growth investors who believe in the platform thesis — the HOLD rating reflects recovery conviction balanced against execution risk and a stock that has already partially re-rated off the $11 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EBIT profitability in H2 2026 as guided by management, validating the margin expansion thesis and likely triggering a meaningful re-rating toward growth-company multiples [2]</w:t>
      </w:r>
    </w:p>
    <w:p>
      <w:pPr>
        <w:spacing w:before="40" w:after="40"/>
        <w:ind w:left="283"/>
      </w:pPr>
      <w:r>
        <w:rPr>
          <w:rFonts w:ascii="Calibri" w:hAnsi="Calibri"/>
          <w:b/>
          <w:color w:val="4A6B25"/>
          <w:sz w:val="20"/>
        </w:rPr>
        <w:t xml:space="preserve">2. </w:t>
      </w:r>
      <w:r>
        <w:rPr>
          <w:rFonts w:ascii="Calibri" w:hAnsi="Calibri"/>
          <w:b w:val="0"/>
          <w:color w:val="3A4A28"/>
          <w:sz w:val="20"/>
        </w:rPr>
        <w:t>Nexis platform commercial launch gaining installer traction in Europe and the US, demonstrating AI-driven grid optimization capabilities and providing evidence of market share recovery against Enphase and Chinese competitors [2]</w:t>
      </w:r>
    </w:p>
    <w:p>
      <w:pPr>
        <w:spacing w:before="40" w:after="40"/>
        <w:ind w:left="283"/>
      </w:pPr>
      <w:r>
        <w:rPr>
          <w:rFonts w:ascii="Calibri" w:hAnsi="Calibri"/>
          <w:b/>
          <w:color w:val="4A6B25"/>
          <w:sz w:val="20"/>
        </w:rPr>
        <w:t xml:space="preserve">3. </w:t>
      </w:r>
      <w:r>
        <w:rPr>
          <w:rFonts w:ascii="Calibri" w:hAnsi="Calibri"/>
          <w:b w:val="0"/>
          <w:color w:val="3A4A28"/>
          <w:sz w:val="20"/>
        </w:rPr>
        <w:t>AI hyperscaler solar procurement acceleration creating new high-margin B2B revenue streams from SolarEdge's DC power management expertise, expanding beyond the residential solar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Failure to sustain gross margin expansion above 20% — renewed pricing pressure from Huawei, Sungrow, or European demand softness could push the company back toward cash burn and delay GAAP profitability indefinitely [1]</w:t>
      </w:r>
    </w:p>
    <w:p>
      <w:pPr>
        <w:spacing w:before="40" w:after="40"/>
        <w:ind w:left="283"/>
      </w:pPr>
      <w:r>
        <w:rPr>
          <w:rFonts w:ascii="Calibri" w:hAnsi="Calibri"/>
          <w:b/>
          <w:color w:val="4A6B25"/>
          <w:sz w:val="20"/>
        </w:rPr>
        <w:t xml:space="preserve">2. </w:t>
      </w:r>
      <w:r>
        <w:rPr>
          <w:rFonts w:ascii="Calibri" w:hAnsi="Calibri"/>
          <w:b w:val="0"/>
          <w:color w:val="3A4A28"/>
          <w:sz w:val="20"/>
        </w:rPr>
        <w:t>US policy risk: modification or rollback of Inflation Reduction Act solar incentives, or imposition of new tariffs on Israeli-manufactured electronics, could compress demand and margins simultaneously at a critical inflection point [1]</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Israel headquarters operations and ongoing regional conflict could disrupt R&amp;D continuity and management execution at the precise moment SolarEdge must successfully launch Nexis and prove the recovery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 inverter and power optimizer hardware sits at the intersection of clean energy infrastructure and power electronics — a domain where AI enhances rather than threatens the core business model [1]. SolarEdge's cloud monitoring platform already incorporates machine-learning-driven diagnostics and predictive maintenance, positioning AI as an operational enabler for installers and system owners rather than a disruptive force [2]. The surge in AI data center construction is a direct demand tailwind, as hyperscalers are increasingly procuring solar installations to meet sustainability commitments and power rapidly growing compute loads — a structural market expansion for SolarEdge's addressable market [2]. The primary AI disruption risk is in automated solar system design tools that could accelerate commoditization of installer services and help Chinese manufacturers close the engineering gap faster, but SolarEdge's hardware IP and certified installer ecosystem provide meaningful protection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SolarEdge Technologies Q4 and Full Year 2025 Earnings Release, February 18, 2026 — investors.solaredge.com</w:t>
      </w:r>
    </w:p>
    <w:p>
      <w:pPr>
        <w:spacing w:before="20" w:after="20"/>
        <w:ind w:left="170"/>
      </w:pPr>
      <w:r>
        <w:rPr>
          <w:rFonts w:ascii="Calibri" w:hAnsi="Calibri"/>
          <w:b/>
          <w:color w:val="4A6B25"/>
          <w:sz w:val="15"/>
        </w:rPr>
        <w:t xml:space="preserve">2. </w:t>
      </w:r>
      <w:r>
        <w:rPr>
          <w:rFonts w:ascii="Calibri" w:hAnsi="Calibri"/>
          <w:b w:val="0"/>
          <w:color w:val="3A4A28"/>
          <w:sz w:val="17"/>
        </w:rPr>
        <w:t>Yahoo Finance — SolarEdge SEDG valuation after Q4 recovery and upbeat 2026 guidance, April 2026</w:t>
      </w:r>
    </w:p>
    <w:p>
      <w:pPr>
        <w:spacing w:before="20" w:after="20"/>
        <w:ind w:left="170"/>
      </w:pPr>
      <w:r>
        <w:rPr>
          <w:rFonts w:ascii="Calibri" w:hAnsi="Calibri"/>
          <w:b/>
          <w:color w:val="4A6B25"/>
          <w:sz w:val="15"/>
        </w:rPr>
        <w:t xml:space="preserve">3. </w:t>
      </w:r>
      <w:r>
        <w:rPr>
          <w:rFonts w:ascii="Calibri" w:hAnsi="Calibri"/>
          <w:b w:val="0"/>
          <w:color w:val="3A4A28"/>
          <w:sz w:val="17"/>
        </w:rPr>
        <w:t>Inspire Insight — SolarEdge Technologies ESG Impact Score,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