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SEE</w:t>
      </w:r>
      <w:r>
        <w:rPr>
          <w:rFonts w:ascii="Calibri" w:hAnsi="Calibri"/>
          <w:b/>
          <w:color w:val="1A2010"/>
          <w:sz w:val="40"/>
        </w:rPr>
        <w:t xml:space="preserve">  Sealed Air Corporation</w:t>
      </w:r>
    </w:p>
    <w:p>
      <w:pPr>
        <w:spacing w:after="120"/>
      </w:pPr>
      <w:r>
        <w:rPr>
          <w:rFonts w:ascii="Calibri" w:hAnsi="Calibri"/>
          <w:b/>
          <w:color w:val="6E8450"/>
          <w:sz w:val="18"/>
        </w:rPr>
        <w:t>GROWTH SLEEVE · 2026-04-10 · Inspire: 66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Packaging &amp; Containers · NYSE · United States</w:t>
      </w:r>
    </w:p>
    <w:p>
      <w:pPr>
        <w:spacing w:after="80"/>
      </w:pPr>
      <w:r>
        <w:rPr>
          <w:rFonts w:ascii="Calibri" w:hAnsi="Calibri"/>
          <w:b w:val="0"/>
          <w:color w:val="3A4A28"/>
          <w:sz w:val="20"/>
        </w:rPr>
        <w:t>Sealed Air Corporation provides packaging solutions through two segments: Food (Cryovac brand — barrier bags, pouches, films for meat, poultry, seafood, cheese) and Protective (Bubble Wrap, Autobag, Instapak for e-commerce and industrial). The company is being acquired by CD&amp;R in an all-cash transaction at $42.15/share ($10.3B enterprise value), expected to close mid-2026. Founded in 1960, headquartered in Charlotte, North Carolina.</w:t>
      </w:r>
    </w:p>
    <w:p>
      <w:r>
        <w:rPr>
          <w:rFonts w:ascii="Calibri" w:hAnsi="Calibri"/>
          <w:b/>
          <w:color w:val="6E8450"/>
          <w:sz w:val="18"/>
        </w:rPr>
        <w:t>16,100 Employees · https://www.sealedair.com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Sealed Air's revenue has declined three consecutive years — from $5.64B in 2022 to $5.36B in 2025 — reflecting a stagnant core packaging business [1]. The CTO2Grow (Cost Take-out to Grow) program improved adjusted EBITDA margins to 19.8% in Q4 2025, but this is operational efficiency rather than true product innovation [1]. AI Deployment (0/2): No evidence of AI-powered products or AI-driven operational efficiencies. The company references 'digital technologies' and 'automation' in its packaging solutions portfolio, but no specific AI deployments with measurable results have been disclosed [2]. Market Share (1/2): Sealed Air holds meaningful positions in food packaging (Cryovac is an industry-recognized brand) and protective packaging (Bubble Wrap has iconic brand recognition), but faces competition from Amcor, Berry Global, and Sonoco with no clear share gains [2]. Pipeline (1/2): The company references sustainable packaging innovation and automation equipment, but with the pending CD&amp;R acquisition, R&amp;D direction is effectively frozen pending new ownership [1]. R&amp;D Intensity (1/1): Sealed Air invests in packaging materials science and automation technology at levels consistent with specialty packaging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Sealed Air's purpose centers on 'protecting and solving critical packaging challenges' — functional and clear but not aspirational. It describes the company's function rather than articulating a vision of a better future. The sustainability pledge to make 100% of packaging recyclable or reusable showed intentionality but was subsequently revised due to infrastructure limitations [3]. Community Impact (1/2): Sealed Air employs 16,100 people globally and has ESG programs targeting net-zero emissions. The company publishes sustainability impact reports and has set environmental targets, though it walked back its 2025 sustainability pledges citing insufficient recycling infrastructure [3]. Employee Retention (0/2): Sealed Air has experienced significant leadership instability — CEO Patrick Kivits lasted only seven months before being ousted, followed by Dustin Semach's appointment. This is the latest in a pattern of CEO turnover that undermines organizational stability [2]. Insider Buying (1/2): The pending CD&amp;R acquisition at $42.15/share represents private equity validation of the company's intrinsic value. The board unanimously approved the deal, signaling belief in the underlying business even if public market execution has been poor.</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Sealed Air's financial profile reflects a heavily leveraged business with strong profitability metrics partially offset by declining revenue and extreme debt. D/E of 331.3% far exceeds the 300% floor, scoring zero on this metric — the company carries approximately $5B in debt from historical leveraged recapitalizations [4]. ROE of 47.4% is excellent but inflated by the negative equity base driven by debt-funded buybacks. Forward P/E of 11.3x is attractive but reflects the $42.15 acquisition price ceiling, not organic valuation expansion [1]. Adjusted EBITDA margin of ~20% demonstrates pricing power in food and protective packaging. Profit margin of 9.4% is moderate. Revenue has declined from $5.64B to $5.36B over three years, with YoY growth of -0.6% [1]. Forward PEG of 0.46 based on 24% EPS growth is attractive. Liquidity floor cleared at $129.2M daily turnover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Sealed Air exhibits predominantly finite game characteristics — chronic CEO turnover (Kivits lasted 7 months), revenue decline over 3 consecutive years, walked-back sustainability pledges, and ultimately accepting a private equity buyout rather than executing a long-term transformation. The company has been playing to survive rather than playing to endure.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Sealed Air's purpose of 'protecting and solving critical packaging challenges' is functional but lacks the inspirational quality of a true Just Cause. The company's 2018 sustainability pledge (100% recyclable/reusable packaging) showed potential for a deeper purpose, but walking it back due to infrastructure challenges suggests the commitment was aspirational marketing rather than an enduring cause [3]. The pending CD&amp;R acquisition means the company's independent purpose is being extinguished.</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Sealed Air's leadership instability is severe — CEO Patrick Kivits was ousted after just seven months, preceded by other leadership transitions [2]. This revolving door at the CEO level creates organizational uncertainty and undermines psychological safety throughout the organization. The CTO2Grow cost-cutting program, while operationally necessary, often signals job cuts and restructuring that erode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Sealed Air competes against Amcor, Berry Global, and Sonoco but shows no evidence of an infinite competitive mindset. The company's competitive language focuses on 'industry-leading solutions' and brand strength (Cryovac, Bubble Wrap) rather than acknowledging what competitors do better or how rivalry drives self-improvement [2].</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Sealed Air has operated the same basic business model — food and protective packaging — for decades without meaningful strategic transformation. The company's response to declining revenue has been cost restructuring (CTO2Grow) rather than business model reinvention [1]. Ultimately, accepting the CD&amp;R private equity buyout represents the board's acknowledgment that the company could not transform itself independently.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board showed some courage in rapidly removing CEO Kivits after seven months when performance was unsatisfactory, preferring disruption over tolerating poor leadership [2]. The original sustainability pledge in 2018 was a bold commitment for a plastics-heavy packaging company, even though it was later revised. However, accepting the CD&amp;R buyout at $42.15 (well below historical highs) suggests the board prioritized certainty over long-term value creation.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Sealed Air is being acquired by CD&amp;R in an all-cash transaction at $42.15/share ($10.3B enterprise value), expected to close mid-2026 [1]. At the current stock price of $42.15, the shares are trading at the acquisition price, effectively making this a deal-closing arbitrage play with minimal upside. The underlying business generates ~$1.1B adjusted EBITDA at 19.8% margins on $5.36B revenue, with iconic brands (Cryovac, Bubble Wrap) that maintain pricing power in food safety and protective packaging [1]. Q4 2025 adjusted EBITDA margin improved 10bps to 19.8%, and forward P/E of 11.3x reflects the takeout price rather than growth expectations. ROE of 47.4% and profit margin of 9.4% demonstrate solid underlying profitability despite 3 years of revenue decline.</w:t>
      </w:r>
    </w:p>
    <w:p>
      <w:pPr>
        <w:spacing w:after="120"/>
      </w:pPr>
      <w:r>
        <w:rPr>
          <w:rFonts w:ascii="Calibri" w:hAnsi="Calibri"/>
          <w:b w:val="0"/>
          <w:color w:val="3A4A28"/>
          <w:sz w:val="20"/>
        </w:rPr>
        <w:t>The primary risk is deal-break or regulatory delay. The CD&amp;R acquisition was announced at $42.15/share with an expected mid-2026 close, but antitrust review of a $10.3B packaging industry consolidation could introduce delays or conditions [1]. If the deal breaks, Sealed Air faces significant downside — revenue has declined from $5.64B in 2022 to $5.36B in 2025, D/E of 331% reflects dangerous leverage from historical recapitalizations, and chronic CEO instability (3 CEOs in 3 years) suggests governance dysfunction [2][4]. The company walked back its 2025 sustainability pledge on recyclable packaging, creating reputational risk as ESG-conscious customers demand sustainable solutions [3]. The beef cattle cycle is at 50-year lows with 3-4% annual declines expected in 2025-2026, directly pressuring the Cryovac food packaging segment [1]. Without the CD&amp;R buyout floor, the stock could trade significantly lower given the revenue decline trajectory and excessive leverage.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CD&amp;R acquisition closing at $42.15/share in mid-2026, providing price certainty for current holders and eliminating operating risk [1]</w:t>
      </w:r>
    </w:p>
    <w:p>
      <w:pPr>
        <w:spacing w:before="40" w:after="40"/>
        <w:ind w:left="283"/>
      </w:pPr>
      <w:r>
        <w:rPr>
          <w:rFonts w:ascii="Calibri" w:hAnsi="Calibri"/>
          <w:b/>
          <w:color w:val="4A6B25"/>
          <w:sz w:val="20"/>
        </w:rPr>
        <w:t xml:space="preserve">2. </w:t>
      </w:r>
      <w:r>
        <w:rPr>
          <w:rFonts w:ascii="Calibri" w:hAnsi="Calibri"/>
          <w:b w:val="0"/>
          <w:color w:val="3A4A28"/>
          <w:sz w:val="20"/>
        </w:rPr>
        <w:t>CTO2Grow cost restructuring program sustaining 19.8% adjusted EBITDA margins despite volume pressure, positioning the business for improved profitability under private equity ownership [1]</w:t>
      </w:r>
    </w:p>
    <w:p>
      <w:pPr>
        <w:spacing w:before="40" w:after="40"/>
        <w:ind w:left="283"/>
      </w:pPr>
      <w:r>
        <w:rPr>
          <w:rFonts w:ascii="Calibri" w:hAnsi="Calibri"/>
          <w:b/>
          <w:color w:val="4A6B25"/>
          <w:sz w:val="20"/>
        </w:rPr>
        <w:t xml:space="preserve">3. </w:t>
      </w:r>
      <w:r>
        <w:rPr>
          <w:rFonts w:ascii="Calibri" w:hAnsi="Calibri"/>
          <w:b w:val="0"/>
          <w:color w:val="3A4A28"/>
          <w:sz w:val="20"/>
        </w:rPr>
        <w:t>Food packaging demand recovery as protein markets normalize beyond the 50-year cattle cycle low, with Cryovac's brand leadership well-positioned to capture share gains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Deal-break risk on CD&amp;R acquisition — antitrust review or financing issues could delay or terminate the $10.3B transaction, exposing shareholders to a declining standalone business with 331% D/E [1]</w:t>
      </w:r>
    </w:p>
    <w:p>
      <w:pPr>
        <w:spacing w:before="40" w:after="40"/>
        <w:ind w:left="283"/>
      </w:pPr>
      <w:r>
        <w:rPr>
          <w:rFonts w:ascii="Calibri" w:hAnsi="Calibri"/>
          <w:b/>
          <w:color w:val="4A6B25"/>
          <w:sz w:val="20"/>
        </w:rPr>
        <w:t xml:space="preserve">2. </w:t>
      </w:r>
      <w:r>
        <w:rPr>
          <w:rFonts w:ascii="Calibri" w:hAnsi="Calibri"/>
          <w:b w:val="0"/>
          <w:color w:val="3A4A28"/>
          <w:sz w:val="20"/>
        </w:rPr>
        <w:t>Revenue decline trajectory — three consecutive years of declining revenue ($5.64B to $5.36B) with beef cattle cycle at 50-year lows pressuring the Food segment's core protein packaging volumes [1]</w:t>
      </w:r>
    </w:p>
    <w:p>
      <w:pPr>
        <w:spacing w:before="40" w:after="40"/>
        <w:ind w:left="283"/>
      </w:pPr>
      <w:r>
        <w:rPr>
          <w:rFonts w:ascii="Calibri" w:hAnsi="Calibri"/>
          <w:b/>
          <w:color w:val="4A6B25"/>
          <w:sz w:val="20"/>
        </w:rPr>
        <w:t xml:space="preserve">3. </w:t>
      </w:r>
      <w:r>
        <w:rPr>
          <w:rFonts w:ascii="Calibri" w:hAnsi="Calibri"/>
          <w:b w:val="0"/>
          <w:color w:val="3A4A28"/>
          <w:sz w:val="20"/>
        </w:rPr>
        <w:t>Governance instability — three CEO changes in three years (including Kivits ousted after 7 months) signal strategic dysfunction that CD&amp;R must address post-acquisition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Sealed Air's core business involves manufacturing physical packaging materials — barrier films, shrink wrap, foam systems, and automated packaging equipment — that AI cannot substitute. Food safety packaging (Cryovac) involves materials science, regulatory compliance, and physical product integration that require manufacturing infrastructure [2]. The protective packaging segment serves e-commerce fulfillment, where AI-optimized fulfillment centers may change packaging volumes but still require physical packaging materials. However, AI-driven supply chain optimization could reduce over-packaging and packaging waste, potentially compressing demand for protective materials. The e-commerce packaging segment faces moderate AI exposure as automated fulfillment systems may favor standardized, lower-cost solutions. AI Opportunity (1/1): Sealed Air's automation equipment solutions integrate with customer fulfillment operations, and the company references digital technologies in its packaging systems, positioning it to benefit from automation trends in food processing and e-commerce fulfillment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Sealed Air Q4/FY2025 Earnings Release and CD&amp;R acquisition announcement — $5.36B revenue, $42.15/share deal, $10.3B enterprise value, February 2026</w:t>
      </w:r>
    </w:p>
    <w:p>
      <w:pPr>
        <w:spacing w:before="20" w:after="20"/>
        <w:ind w:left="170"/>
      </w:pPr>
      <w:r>
        <w:rPr>
          <w:rFonts w:ascii="Calibri" w:hAnsi="Calibri"/>
          <w:b/>
          <w:color w:val="4A6B25"/>
          <w:sz w:val="15"/>
        </w:rPr>
        <w:t xml:space="preserve">2. </w:t>
      </w:r>
      <w:r>
        <w:rPr>
          <w:rFonts w:ascii="Calibri" w:hAnsi="Calibri"/>
          <w:b w:val="0"/>
          <w:color w:val="3A4A28"/>
          <w:sz w:val="17"/>
        </w:rPr>
        <w:t>Sealed Air corporate website, Packaging Dive — CEO turnover (Kivits 7 months, Semach appointment), CTO2Grow program, automation strategy</w:t>
      </w:r>
    </w:p>
    <w:p>
      <w:pPr>
        <w:spacing w:before="20" w:after="20"/>
        <w:ind w:left="170"/>
      </w:pPr>
      <w:r>
        <w:rPr>
          <w:rFonts w:ascii="Calibri" w:hAnsi="Calibri"/>
          <w:b/>
          <w:color w:val="4A6B25"/>
          <w:sz w:val="15"/>
        </w:rPr>
        <w:t xml:space="preserve">3. </w:t>
      </w:r>
      <w:r>
        <w:rPr>
          <w:rFonts w:ascii="Calibri" w:hAnsi="Calibri"/>
          <w:b w:val="0"/>
          <w:color w:val="3A4A28"/>
          <w:sz w:val="17"/>
        </w:rPr>
        <w:t>Sealed Air sustainability reporting and Packaging Dive — revised 2025 sustainability pledge, recycling infrastructure challenges, ESG targets</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SEE (Sealed Air), retrieved April 10,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