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SEGG</w:t>
      </w:r>
      <w:r>
        <w:rPr>
          <w:rFonts w:ascii="Calibri" w:hAnsi="Calibri"/>
          <w:b/>
          <w:color w:val="1A2010"/>
          <w:sz w:val="40"/>
        </w:rPr>
        <w:t xml:space="preserve">  Sports Entertainment Gaming Global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35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Gambling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Sports Entertainment Gaming Global Corporation (formerly Lottery.com Inc.) operates a portfolio of digital and experiential assets including Sports.com, Concerts.com, TicketStub.com, Lottery.com, and Veloce Media Group across sports content, entertainment, and gaming/lottery segments. Rebranded in January 2026 amid SEC fraud charges against former executives.</w:t>
      </w:r>
    </w:p>
    <w:p>
      <w:r>
        <w:rPr>
          <w:rFonts w:ascii="Calibri" w:hAnsi="Calibri"/>
          <w:b/>
          <w:color w:val="6E8450"/>
          <w:sz w:val="18"/>
        </w:rPr>
        <w:t>12 Employees · https://seggmediacorp.com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SEGG's product portfolio — lottery data API, Sports.com content platform, Concerts.com, and proposed AI/Web3 initiatives — represents a scattershot of unfocused strategies rather than genuine innovation [1]. The company's claims of 102 million views across all platforms and proposed Triggy.AI acquisition, $300M tokenization program, and Sports.com arena facility lack credible execution evidence given $902K in TTM revenue and 12 employees. The rapid pivot from lottery data to sports/entertainment/gaming/Web3/AI suggests trend-chasing rather than substantive technology development.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SEGG's history is defined by SEC fraud charges: the SEC filed civil complaints against former CEO DiMatteo and executives for a $9M revenue fabrication scheme tied to the original SPAC merger, and former SPAC CEO Komissarov was arrested by the U.S. Attorney's Office in February 2025 [2]. The board terminated CEO McGahan in December 2025, and the January 2026 rebrand from Lottery.com to SEGG was widely perceived as an attempt to distance from the fraud association [2]. No legitimate inspirational mission exists at a company with this governance history.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SEGG's financial infrastructure is catastrophic: $902K in TTM revenue, -2,309% net margin, -58.5% ROE, revenue declining 31.4% YoY, and a $9M market cap [1]. The company closed a $2.5M funding agreement in December 2025 to support a '90-day plan' — suggesting existential near-term liquidity constraints. A 1-for-10 reverse stock split in August 2025 was executed to maintain Nasdaq listing compliance, and the company previously faced delisting threats for failing to hold annual shareholder meetings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SEGG epitomizes finite-game thinking: a SPAC-originated entity with fabricated revenue, serial CEO terminations, SEC fraud charges, reverse stock splits, delisting threats, and a corporate rebrand designed to escape association with its own history. Every strategic move — from Web3 tokenization to AI acquisitions — appears designed to generate short-term investor interest rather than build enduring value.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SEGG's stated vision of 'immersive fan engagement, ethical gaming and AI-driven live experiences' is contradicted by its SEC fraud history, CEO termination, and $9M fabricated revenue scheme [2]. A company whose founding was marred by fraud and whose rebrand appears designed to distance from that fraud has no credible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12 employees, a terminated CEO, an interim CEO ('stepping in with clear directives to ensure financial stability'), and SEC investigations against former leadership, team trust is non-existent [2]. The board's unanimous CEO termination in December 2025 and subsequent leadership changes suggest governance in crisis mode.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SEGG nominally competes with ESPN, DraftKings, FanDuel, and major sports media companies, but at $902K in revenue and $9M market cap, the company operates at a scale that is not competitive with any established entity. The company shows no evidence of meaningful engagement with competitive dynamics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rebrand from Lottery.com to SEGG and the portfolio expansion from lottery data to sports/entertainment/gaming demonstrate willingness to pivot, though this flexibility appears driven by desperation rather than strategic vision [2]. The $2.5M funding for a '90-day plan' suggests quarter-to-quarter survival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SEC fraud charges, fabricated revenue, corporate rebrand to escape association with fraud, and repeated Nasdaq compliance failures represent the antithesis of courageous leadership [2]. The company's behavior pattern — from SPAC fraud to delisting threats to rebrand — demonstrates avoidance and obfuscation rather than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SEGG's only potential bull case is an extreme deep-value or acquisition thesis: the company owns Sports.com, Concerts.com, and TicketStub.com domain names that could have material value to a strategic acquirer, and the 102 million cross-platform views suggest some audience reach despite minimal revenue [1]. The $9M market cap means any single successful initiative could generate outsized returns, and the new interim CEO has committed to 'financial stability and rebuilding shareholder value.' The $2.5M funding agreement provides short-term operational runway for proposed acquisitions.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and comprehensive: SEC fraud charges against former executives for fabricating $9M in revenue, former SPAC CEO arrested and facing up to 15 years in prison, current CEO terminated in December 2025, $902K in TTM revenue with a -2,309% net margin, 12 employees, repeated Nasdaq delisting threats, a reverse stock split, and the stock down 90% in a year [2]. The corporate rebrand from Lottery.com to SEGG appears designed to distance from fraud rather than signal genuine strategic transformation. The proposed acquisitions (Veloce Media, Ant Media, Triggy.AI) and $300M tokenization program with ZIGChain are aspirational claims from a company that cannot fund basic operations without emergency funding agreements. This stock carries extreme risk of total loss.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closure of Veloce Media Group and DotCom Ventures acquisitions, adding legitimate revenue streams and strategic assets to the portfolio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Sports.com platform achieving meaningful advertising revenue from its 100M+ view base, validating the sports media content strategy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Resolution of SEC civil complaints without additional financial penalties, removing the legal overhang and enabling strategic focus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Nasdaq delisting — the company has already faced delisting threats for compliance failures, and at $0.594 per share (below the $1.00 minimum), another delisting notice is likely imminent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SEC investigation expansion — the civil fraud charges could lead to additional penalties, and the criminal case against former SPAC CEO Komissarov could reveal additional governance failures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Total capital loss — with $902K in revenue, -2,309% net margins, and $2.5M in emergency funding as the only liquidity, the company may be unable to continue as a going concern within 12 months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SEGG claims AI-driven capabilities through its proposed Triggy.AI acquisition and 'AI-driven live experiences' strategy, but with $902K in annual revenue and 12 employees, the company lacks any credible AI development capacity [1]. The proposed AI initiatives appear to be marketing narrative rather than substantive technology — the company cannot compete with established sports media, gaming, or AI companies at any scale. AI represents neither a meaningful threat nor opportunity for a company of this size and financial condition.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SEGG Media Corp. press releases — 100M views milestone, $2.5M funding agreement, acquisition announcements,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SEC Enforcement — Litigation Release lr-26464 (fraud charges against DiMatteo, Komissarov, Clemenson, Dickinson); Gambling Insider — 'SEC Files New Fraud Complaint'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SEGG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Investing.com / Nasdaq — SEGG stock price and delisting compliance notices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