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w:t>
      </w:r>
      <w:r>
        <w:rPr>
          <w:rFonts w:ascii="Calibri" w:hAnsi="Calibri"/>
          <w:b/>
          <w:color w:val="1A2010"/>
          <w:sz w:val="40"/>
        </w:rPr>
        <w:t xml:space="preserve">  Select Medical Holdings Corporation</w:t>
      </w:r>
    </w:p>
    <w:p>
      <w:pPr>
        <w:spacing w:after="120"/>
      </w:pPr>
      <w:r>
        <w:rPr>
          <w:rFonts w:ascii="Calibri" w:hAnsi="Calibri"/>
          <w:b/>
          <w:color w:val="6E8450"/>
          <w:sz w:val="18"/>
        </w:rPr>
        <w:t>GROWTH SLEEVE · 2026-04-21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Select Medical operates critical illness recovery hospitals, inpatient rehabilitation hospitals, and outpatient rehabilitation clinics across the United States. The company serves patients recovering from severe medical events including respiratory failure, neurological disorders, strokes, and orthopedic conditions through approximately 100 critical illness recovery hospitals, 35 rehabilitation hospitals, and 1,900+ outpatient clinics.</w:t>
      </w:r>
    </w:p>
    <w:p>
      <w:r>
        <w:rPr>
          <w:rFonts w:ascii="Calibri" w:hAnsi="Calibri"/>
          <w:b/>
          <w:color w:val="6E8450"/>
          <w:sz w:val="18"/>
        </w:rPr>
        <w:t>30,800 Employees · https://www.selectmedical.com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Select Medical has steadily expanded its rehabilitation hospital footprint, adding new facilities and growing revenue from $4.6B in 2022 to $5.45B in 2025 [1], but these are incremental expansions of an existing model rather than transformative launches. AI Deployment (0/2): No evidence of AI-powered products or quantified AI-driven operational savings; the company's 150+ ongoing clinical studies focus on traditional rehabilitation outcomes research [3]. Market Share (1/2): Select Medical is one of the largest operators of long-term acute care hospitals and inpatient rehabilitation facilities in the U.S., with meaningful scale in a fragmented market [1]. Pipeline (1/2): 2026 guidance projects $5.6-5.8B revenue with continued inpatient rehab expansion, representing a clear near-term growth runway [1]. R&amp;D Intensity (1/1): Clinical research program with 150+ active studies is above-average for the post-acute care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 Medical's purpose centers on providing 'exceptional patient care in every setting' — clear and specific to their healthcare role but not distinctive or deeply inspiring beyond standard healthcare industry positioning [3]. Community Impact (1/2): The company operates rehabilitation services that serve underserved patient populations including traumatic brain injury and spinal cord injury patients, providing essential community healthcare infrastructure [1]. Employee Retention (0/2): Glassdoor ratings of 3.2/5 and reviews citing 'high turnover' and management ineffectiveness suggest below-average employee engagement; only 57% of employees would recommend the company [4]. Insider Buying (1/2): Co-founder Robert Ortenzio remains actively involved as Executive Chairman, maintaining significant equity ownership that signals long-term alignment with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Select Medical's financials show a low-margin, highly leveraged healthcare operator. Revenue grew 5.1% YoY to $5.45B in 2025 with 2026 guidance of $5.6-5.8B [1]. The critical weakness is profitability — net profit margin of just 2.68% and net income declined from $243M (2023) to $146M (2025) despite revenue growth, indicating margin compression from labor costs and reimbursement pressure [1]. D/E of 140.9% reflects $2.87B in debt against $26.5M cash, scoring 0.69 [2]. ROE of 10.6% falls short of the 15% target, scoring 0.71 [2]. Forward P/E of 11.7 is attractive, scoring 1.0 [2]. PEG of 2.26 is elevated, scoring 0.37 [2]. Liquidity floor cleared at $34.1M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Select Medical operates with a mixed infinite/finite orientation. The company's 30-year track record in post-acute care under co-founder leadership demonstrates staying power, but margin compression and high leverage suggest financial engineering may be prioritized over long-term mission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Select Medical's purpose of delivering exceptional patient care in every setting is genuine but generic — it is interchangeable with most healthcare providers (1/3 pts). The company has operated for 30 years in post-acute care, showing consistency, but the cause doesn't appear to drive strategic decisions beyond standard healthcare operations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points to a low-trust work environment. Glassdoor reviews cite 'high turnover,' management that 'lacks the necessary skills to effectively lead,' and only 52% of employees have a positive outlook [4]. A 3.2/5 culture rating and executive team rated in the bottom 40% of similar-sized companies on Comparably suggest systemic organizational challenges (0/2 pts)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Select Medical publicly acknowledging worthy rivals or framing competition as an opportunity for self-improvement. The post-acute care market is fragmented and competitive with Encompass Health and Kindred, but Select Medical's communications focus on operational execution rather than competitive learning (0/1 pts)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Select Medical has incrementally evolved from a long-term acute care hospital operator to a diversified post-acute platform spanning critical illness recovery, inpatient rehabilitation, and 1,900+ outpatient clinics (1/2 pts). The expansion into inpatient rehab represents meaningful strategic evolution, but each move was incremental rather than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Co-founder Robert Ortenzio has maintained leadership involvement for 30 years, providing strategic continuity. The company's continued investment in rehabilitation hospital expansion during a period of margin pressure shows willingness to invest for the long term (1/2 pts) [1]. However, the high debt load ($2.87B) suggests financial leverage may constrain future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Medical is a leading U.S. post-acute care operator generating $5.45B in 2025 revenue with a clear expansion trajectory — 2026 guidance of $5.6-5.8B ($520-540M Adjusted EBITDA) is anchored by continued inpatient rehabilitation hospital development [1]. At 11.7x forward P/E, the stock is cheaply valued for a healthcare company with predictable Medicare/Medicaid-driven revenue streams. The physical nature of rehabilitation and critical illness care provides structural protection from AI disruption, and the company's scale across ~100 critical illness hospitals, 35 rehab hospitals, and 1,900+ outpatient clinics creates operational leverage and referral network advantages [1].</w:t>
      </w:r>
    </w:p>
    <w:p>
      <w:pPr>
        <w:spacing w:after="120"/>
      </w:pPr>
      <w:r>
        <w:rPr>
          <w:rFonts w:ascii="Calibri" w:hAnsi="Calibri"/>
          <w:b w:val="0"/>
          <w:color w:val="3A4A28"/>
          <w:sz w:val="20"/>
        </w:rPr>
        <w:t>The bear case centers on margin deterioration and leverage. Net income declined from $243M (2023) to $146M (2025) despite $627M in revenue growth, revealing acute margin pressure from healthcare labor inflation and reimbursement rate constraints [1]. Profit margin of just 2.68% leaves almost no buffer for operational disruptions. The $2.87B debt load (140.9% D/E) against only $26.5M cash creates significant financial fragility — a 100bps increase in borrowing costs would meaningfully impact earnings [2]. Glassdoor reviews flagging 'high turnover' and weak management ratings suggest workforce challenges in a labor-intensive industry where staff quality directly impacts patient outcomes and regulatory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Inpatient rehabilitation hospital expansion driving revenue toward $5.6-5.8B in 2026, with new facilities contributing to volume growth as the aging U.S. population increases demand for post-acute services [1]</w:t>
      </w:r>
    </w:p>
    <w:p>
      <w:pPr>
        <w:spacing w:before="40" w:after="40"/>
        <w:ind w:left="283"/>
      </w:pPr>
      <w:r>
        <w:rPr>
          <w:rFonts w:ascii="Calibri" w:hAnsi="Calibri"/>
          <w:b/>
          <w:color w:val="4A6B25"/>
          <w:sz w:val="20"/>
        </w:rPr>
        <w:t xml:space="preserve">2. </w:t>
      </w:r>
      <w:r>
        <w:rPr>
          <w:rFonts w:ascii="Calibri" w:hAnsi="Calibri"/>
          <w:b w:val="0"/>
          <w:color w:val="3A4A28"/>
          <w:sz w:val="20"/>
        </w:rPr>
        <w:t>Potential margin recovery if healthcare labor market pressures ease, which could restore profitability toward the $240M+ net income levels achieved in 2023 [1]</w:t>
      </w:r>
    </w:p>
    <w:p>
      <w:pPr>
        <w:spacing w:before="40" w:after="40"/>
        <w:ind w:left="283"/>
      </w:pPr>
      <w:r>
        <w:rPr>
          <w:rFonts w:ascii="Calibri" w:hAnsi="Calibri"/>
          <w:b/>
          <w:color w:val="4A6B25"/>
          <w:sz w:val="20"/>
        </w:rPr>
        <w:t xml:space="preserve">3. </w:t>
      </w:r>
      <w:r>
        <w:rPr>
          <w:rFonts w:ascii="Calibri" w:hAnsi="Calibri"/>
          <w:b w:val="0"/>
          <w:color w:val="3A4A28"/>
          <w:sz w:val="20"/>
        </w:rPr>
        <w:t>Forward P/E of 11.7x provides valuation upside if the company demonstrates stabilizing margins and consistent execution on its expansion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compression from healthcare labor inflation and Medicare/Medicaid reimbursement constraints — net profit margin of 2.68% provides minimal cushion against cost increases [1]</w:t>
      </w:r>
    </w:p>
    <w:p>
      <w:pPr>
        <w:spacing w:before="40" w:after="40"/>
        <w:ind w:left="283"/>
      </w:pPr>
      <w:r>
        <w:rPr>
          <w:rFonts w:ascii="Calibri" w:hAnsi="Calibri"/>
          <w:b/>
          <w:color w:val="4A6B25"/>
          <w:sz w:val="20"/>
        </w:rPr>
        <w:t xml:space="preserve">2. </w:t>
      </w:r>
      <w:r>
        <w:rPr>
          <w:rFonts w:ascii="Calibri" w:hAnsi="Calibri"/>
          <w:b w:val="0"/>
          <w:color w:val="3A4A28"/>
          <w:sz w:val="20"/>
        </w:rPr>
        <w:t>High financial leverage with $2.87B debt and D/E of 140.9% creates vulnerability to rising interest rates and limits financial flexibility for strategic investments [2]</w:t>
      </w:r>
    </w:p>
    <w:p>
      <w:pPr>
        <w:spacing w:before="40" w:after="40"/>
        <w:ind w:left="283"/>
      </w:pPr>
      <w:r>
        <w:rPr>
          <w:rFonts w:ascii="Calibri" w:hAnsi="Calibri"/>
          <w:b/>
          <w:color w:val="4A6B25"/>
          <w:sz w:val="20"/>
        </w:rPr>
        <w:t xml:space="preserve">3. </w:t>
      </w:r>
      <w:r>
        <w:rPr>
          <w:rFonts w:ascii="Calibri" w:hAnsi="Calibri"/>
          <w:b w:val="0"/>
          <w:color w:val="3A4A28"/>
          <w:sz w:val="20"/>
        </w:rPr>
        <w:t>Workforce retention challenges evidenced by Glassdoor 'high turnover' reviews in a labor-intensive industry where staffing shortages directly impact patient capacity and regulatory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Select Medical's core business — operating physical hospitals and clinics where nurses, therapists, and physicians deliver hands-on rehabilitation and critical illness recovery care — is structurally protected from AI substitution [1]. Post-acute care requires physical presence, manual therapy, and complex medical judgment in regulated clinical settings that AI cannot replicate. Reimbursement is tied to Medicare/Medicaid fee schedules with regulatory oversight. However, AI tools could pressure administrative workflows and documentation efficiency, and AI-enabled remote monitoring could reduce some inpatient stays over time [3]. AI Opportunity (1/1): Select Medical's 150+ clinical research studies and large patient dataset across 1,900+ facilities create opportunities to deploy AI for clinical outcome optimization, patient matching, and operational scheduling, though no specific AI revenue has been announced yet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Medical Holdings Q4 2025 Earnings Release and 2026 Business Outlook, PRNewswire,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data for SEM (Select Medical Holdings), retrieved April 21, 2026</w:t>
      </w:r>
    </w:p>
    <w:p>
      <w:pPr>
        <w:spacing w:before="20" w:after="20"/>
        <w:ind w:left="170"/>
      </w:pPr>
      <w:r>
        <w:rPr>
          <w:rFonts w:ascii="Calibri" w:hAnsi="Calibri"/>
          <w:b/>
          <w:color w:val="4A6B25"/>
          <w:sz w:val="15"/>
        </w:rPr>
        <w:t xml:space="preserve">3. </w:t>
      </w:r>
      <w:r>
        <w:rPr>
          <w:rFonts w:ascii="Calibri" w:hAnsi="Calibri"/>
          <w:b w:val="0"/>
          <w:color w:val="3A4A28"/>
          <w:sz w:val="17"/>
        </w:rPr>
        <w:t>Select Medical corporate website — selectmedical.com, officers, research leadership,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and Comparably employee reviews for Select Medical,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for Select Medical Holdings Corp.</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