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w:t>
      </w:r>
      <w:r>
        <w:rPr>
          <w:rFonts w:ascii="Calibri" w:hAnsi="Calibri"/>
          <w:b/>
          <w:color w:val="1A2010"/>
          <w:sz w:val="40"/>
        </w:rPr>
        <w:t xml:space="preserve">  Sea Limited</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Singapore</w:t>
      </w:r>
    </w:p>
    <w:p>
      <w:pPr>
        <w:spacing w:after="80"/>
      </w:pPr>
      <w:r>
        <w:rPr>
          <w:rFonts w:ascii="Calibri" w:hAnsi="Calibri"/>
          <w:b w:val="0"/>
          <w:color w:val="3A4A28"/>
          <w:sz w:val="20"/>
        </w:rPr>
        <w:t>Sea Limited operates as a consumer internet company across Southeast Asia, Latin America, and internationally through three segments: E-commerce (Shopee), Digital Financial Services (SeaMoney), and Digital Entertainment (Garena). The company was founded in 2009 and is headquartered in Singapore.</w:t>
      </w:r>
    </w:p>
    <w:p>
      <w:r>
        <w:rPr>
          <w:rFonts w:ascii="Calibri" w:hAnsi="Calibri"/>
          <w:b/>
          <w:color w:val="6E8450"/>
          <w:sz w:val="18"/>
        </w:rPr>
        <w:t>60,000 Employees · https://www.sea.com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Sea transformed from a gaming company (Garena) into Southeast Asia's dominant e-commerce and fintech ecosystem, with Shopee reaching $127B GMV in 2025 and SeaMoney growing 60% YoY to $3.8B revenue [1]. AI Deployment (2/2): AI-powered credit scoring drives SeaMoney's $5.1B loan book, while Shopee uses AI for logistics optimization and ad targeting, contributing to $881M Shopee EBITDA [2][3]. Market Share (2/2): Shopee is the leading e-commerce platform in Southeast Asia by GMV, and Garena's Free Fire maintains 100M DAU globally [1]. Pipeline (1/2): Management guided 25% GMV growth in 2026 with plans to double fulfillment order penetration, though specific next-gen product launches lack granular timelines [1]. R&amp;D (1/1): Sea invests heavily in AI infrastructure including its proprietary Sailor2 localized language models, above peer average for Southeast Asian internet companies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Sea's stated mission is to 'better the lives of consumers and small businesses with technology' — clear and identifies beneficiaries but not deeply distinctive or transformative, interchangeable with many tech platforms. Community Impact (1/2): Sea has general corporate programs in Southeast Asia including digital literacy initiatives, but lacks specific dollar amounts or distinctive charitable programs tied to a broader purpose. Employee Retention (1/2): Average management tenure of 10.6 years and board tenure of 8.4 years signals leadership stability [2], though Glassdoor rating of 3.4/5 with only 51% recommending the company and reports of OT culture suggest mixed employee sentiment below the C-suite. Insider Buying (1/2): CEO Forrest Li holds 7.77% of shares worth $4.23B, demonstrating significant skin in the game, though no evidence of material net insider buying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Sea's balance sheet is exceptionally strong with D/E of just 26.3% and $10.4B cash position [1]. ROE of 15.25% meets the target threshold, and revenue growth is outstanding at 38.4% YoY with a 39.2% 5-year CAGR [1]. Forward P/E of 15.3 is well below the 20 target. The only drag is profit margin at 6.88%, reflecting Shopee's growth-over-margin strategy where cost of revenue rose 43.2% as logistics investment scaled [1]. Liquidity is ample at $465.6M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Sea demonstrates genuine existential flexibility through its transformation from a gaming company to a diversified internet ecosystem, and Forrest Li's 16-year tenure provides leadership continuity. However, the company's aggressive growth-at-all-costs execution style and mixed employee culture suggest a blended infinite/finite approach.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Sea's purpose of 'bettering lives of consumers and small businesses with technology' connects to real impact — Shopee enables millions of SMEs across emerging markets, and SeaMoney provides financial inclusion to underbanked populations. The cause is genuine and partially lived through consistent strategic decisions, but it hasn't been tested through a true existential crisis and remains somewhat generic for a tech platform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stability is exceptional — CEO Forrest Li (16 years), COO Gang Ye (15 years), average management tenure 10.6 years [2]. However, Glassdoor reviews (3.4/5, 51% recommend) cite OT culture, mandatory clock-in/clock-out, and limited flexibility, suggesting trust is concentrated at the top rather than distributed through the organization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 explicitly acknowledges TikTok Shop and Lazada as competitive forces that push Shopee to improve logistics, seller services, and content commerce capabilities. Management's language focuses on improving fulfillment penetration and ecosystem value rather than 'crushing' competitors, and the company has adapted its strategy in response to competitive pressure rather than ignoring it (1/1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Sea's transformation is a textbook case of existential flexibility. The company pivoted from Garena (a gaming platform) to build Shopee (now the dominant Southeast Asian e-commerce platform) and SeaMoney (a full-stack fintech operation), fundamentally reinventing itself multiple times. The 2017 name change from Garena Interactive to Sea Limited formalized this strategic evolution, which was driven by the vision to serve emerging digital consumers rather than desperation (2/2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 demonstrated courage by investing heavily in Shopee's growth during periods of significant losses — the company burned billions building logistics infrastructure across Southeast Asia before reaching profitability. Management's 2026 guidance prioritizes doubling fulfillment penetration over near-term EBITDA maximization, accepting margin compression for long-term capability. However, the Q4 2025 earnings miss and share price drop suggest some tension between growth investment and market expectations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 Limited is a rare emerging-market internet platform that has achieved profitability while sustaining hyper-growth. Full-year 2025 revenue hit $22.9B (+36% YoY) with $1.6B net income (+260% YoY), and management guided 25% Shopee GMV growth for 2026 with plans to double fulfillment penetration [1]. The trifecta of Shopee (e-commerce leader in Southeast Asia with $127B GMV), SeaMoney (60% revenue growth, expanding into banking and insurance), and Garena (100M DAU, double-digit bookings growth guided) creates a self-reinforcing flywheel with a $10.4B cash cushion that provides substantial runway for continued investment [1].</w:t>
      </w:r>
    </w:p>
    <w:p>
      <w:pPr>
        <w:spacing w:after="120"/>
      </w:pPr>
      <w:r>
        <w:rPr>
          <w:rFonts w:ascii="Calibri" w:hAnsi="Calibri"/>
          <w:b w:val="0"/>
          <w:color w:val="3A4A28"/>
          <w:sz w:val="20"/>
        </w:rPr>
        <w:t>The bear case centers on margin sustainability and competition. Shopee's cost of revenue grew 43.2% against 35.8% revenue growth in Q4 2025, driven by logistics scaling costs, and Q4 EPS of $0.63 missed the $0.80 consensus by 21% [1]. TikTok Shop is aggressively expanding in Southeast Asia, and Lazada (backed by Alibaba) remains a well-funded competitor. Three major brokers — Bernstein, Benchmark, and Jefferies — cut price targets by $20-57 following Q4 results [1]. At a forward P/E of 15.3 the valuation is reasonable, but the path from 6.9% profit margin to management's 2-3% e-commerce EBITDA margin target requires sustained execution in a competitive and price-sensitive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Doubling of Shopee fulfillment order penetration by end-2026, which should improve delivery speed, customer retention, and unit economics across Southeast Asia's fragmented logistics landscape</w:t>
      </w:r>
    </w:p>
    <w:p>
      <w:pPr>
        <w:spacing w:before="40" w:after="40"/>
        <w:ind w:left="283"/>
      </w:pPr>
      <w:r>
        <w:rPr>
          <w:rFonts w:ascii="Calibri" w:hAnsi="Calibri"/>
          <w:b/>
          <w:color w:val="4A6B25"/>
          <w:sz w:val="20"/>
        </w:rPr>
        <w:t xml:space="preserve">2. </w:t>
      </w:r>
      <w:r>
        <w:rPr>
          <w:rFonts w:ascii="Calibri" w:hAnsi="Calibri"/>
          <w:b w:val="0"/>
          <w:color w:val="3A4A28"/>
          <w:sz w:val="20"/>
        </w:rPr>
        <w:t>SeaMoney's expansion from credit lending into digital banking and insurance, with licenses already secured in multiple markets and a $5.1B loan book providing the foundation for cross-selling financial products</w:t>
      </w:r>
    </w:p>
    <w:p>
      <w:pPr>
        <w:spacing w:before="40" w:after="40"/>
        <w:ind w:left="283"/>
      </w:pPr>
      <w:r>
        <w:rPr>
          <w:rFonts w:ascii="Calibri" w:hAnsi="Calibri"/>
          <w:b/>
          <w:color w:val="4A6B25"/>
          <w:sz w:val="20"/>
        </w:rPr>
        <w:t xml:space="preserve">3. </w:t>
      </w:r>
      <w:r>
        <w:rPr>
          <w:rFonts w:ascii="Calibri" w:hAnsi="Calibri"/>
          <w:b w:val="0"/>
          <w:color w:val="3A4A28"/>
          <w:sz w:val="20"/>
        </w:rPr>
        <w:t>Garena's double-digit bookings growth guidance for 2026, driven by new IP collaborations and football-related promotions that could reignite engagement in the gaming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TikTok Shop's aggressive content-commerce push in Southeast Asia threatens Shopee's market share lead, particularly among younger demographics who increasingly discover and purchase products through short-form video</w:t>
      </w:r>
    </w:p>
    <w:p>
      <w:pPr>
        <w:spacing w:before="40" w:after="40"/>
        <w:ind w:left="283"/>
      </w:pPr>
      <w:r>
        <w:rPr>
          <w:rFonts w:ascii="Calibri" w:hAnsi="Calibri"/>
          <w:b/>
          <w:color w:val="4A6B25"/>
          <w:sz w:val="20"/>
        </w:rPr>
        <w:t xml:space="preserve">2. </w:t>
      </w:r>
      <w:r>
        <w:rPr>
          <w:rFonts w:ascii="Calibri" w:hAnsi="Calibri"/>
          <w:b w:val="0"/>
          <w:color w:val="3A4A28"/>
          <w:sz w:val="20"/>
        </w:rPr>
        <w:t>Margin compression risk as logistics costs scale faster than revenue — Shopee's cost of revenue grew 43.2% vs 35.8% revenue growth in Q4 2025, and the path to management's 2-3% EBITDA margin target remains uncertain</w:t>
      </w:r>
    </w:p>
    <w:p>
      <w:pPr>
        <w:spacing w:before="40" w:after="40"/>
        <w:ind w:left="283"/>
      </w:pPr>
      <w:r>
        <w:rPr>
          <w:rFonts w:ascii="Calibri" w:hAnsi="Calibri"/>
          <w:b/>
          <w:color w:val="4A6B25"/>
          <w:sz w:val="20"/>
        </w:rPr>
        <w:t xml:space="preserve">3. </w:t>
      </w:r>
      <w:r>
        <w:rPr>
          <w:rFonts w:ascii="Calibri" w:hAnsi="Calibri"/>
          <w:b w:val="0"/>
          <w:color w:val="3A4A28"/>
          <w:sz w:val="20"/>
        </w:rPr>
        <w:t>Regulatory risk across multiple emerging-market jurisdictions where SeaMoney operates digital banking and lending services, particularly as governments tighten fintech oversight and capital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Bernstein explicitly states Sea is 'unlikely to be displaced by AI,' noting that its full-stack advantage spanning logistics, fulfillment, and licensed fintech creates infrastructure that 'new or small platforms cannot easily ride on AI to bypass' in Southeast Asia [3]. Sea and TikTok are identified as the region's 'natural conduits for agentic AI' rather than victims of it [3]. The physical logistics network and regulatory moats in digital banking provide strong defensibility. AI Opportunity (1/1): Sea generates meaningful AI-driven revenue through Shopee's AI-powered ad targeting, SeaMoney's AI credit scoring models powering a $5.1B loan book, and the proprietary Sailor2 localized language model deployed across the ecosystem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 Limited Q4 2025 / Full Year 2025 Earnings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Sea Limited Leadership Page and Simply Wall St Management Analysis,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Bernstein Research Note — 'Sea unlikely to be displaced by AI,' March 2026; Klover.ai AI Strategy Analysis</w:t>
      </w:r>
    </w:p>
    <w:p>
      <w:pPr>
        <w:spacing w:before="20" w:after="20"/>
        <w:ind w:left="170"/>
      </w:pPr>
      <w:r>
        <w:rPr>
          <w:rFonts w:ascii="Calibri" w:hAnsi="Calibri"/>
          <w:b/>
          <w:color w:val="4A6B25"/>
          <w:sz w:val="15"/>
        </w:rPr>
        <w:t xml:space="preserve">4. </w:t>
      </w:r>
      <w:r>
        <w:rPr>
          <w:rFonts w:ascii="Calibri" w:hAnsi="Calibri"/>
          <w:b w:val="0"/>
          <w:color w:val="3A4A28"/>
          <w:sz w:val="17"/>
        </w:rPr>
        <w:t>Yahoo Finance — SE key statistics,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Fortune — 'Sea doubles annual earnings, yet profitability worries drag shares,'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