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SFL</w:t>
      </w:r>
      <w:r>
        <w:rPr>
          <w:rFonts w:ascii="Calibri" w:hAnsi="Calibri"/>
          <w:b/>
          <w:color w:val="1A2010"/>
          <w:sz w:val="40"/>
        </w:rPr>
        <w:t xml:space="preserve">  SFL Corporation Ltd.</w:t>
      </w:r>
    </w:p>
    <w:p>
      <w:pPr>
        <w:spacing w:after="120"/>
      </w:pPr>
      <w:r>
        <w:rPr>
          <w:rFonts w:ascii="Calibri" w:hAnsi="Calibri"/>
          <w:b/>
          <w:color w:val="6E8450"/>
          <w:sz w:val="18"/>
        </w:rPr>
        <w:t>DIVIDEND SLEEVE · 2026-04-24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Bermuda</w:t>
      </w:r>
    </w:p>
    <w:p>
      <w:pPr>
        <w:spacing w:after="80"/>
      </w:pPr>
      <w:r>
        <w:rPr>
          <w:rFonts w:ascii="Calibri" w:hAnsi="Calibri"/>
          <w:b w:val="0"/>
          <w:color w:val="3A4A28"/>
          <w:sz w:val="20"/>
        </w:rPr>
        <w:t>SFL Corporation is a maritime and offshore asset owning and chartering company operating in oil transportation, dry bulk, container shipping, car carriers, and drilling rigs. As of December 2025, the fleet includes 17 tankers, 21 container vessels, 7 car carriers, 2 dry bulk carriers, and 2 drilling rigs, with a $3.7 billion charter backlog.</w:t>
      </w:r>
    </w:p>
    <w:p>
      <w:r>
        <w:rPr>
          <w:rFonts w:ascii="Calibri" w:hAnsi="Calibri"/>
          <w:b/>
          <w:color w:val="6E8450"/>
          <w:sz w:val="18"/>
        </w:rPr>
        <w:t>24 Employees · https://www.sflcorp.com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SFL has expanded into car carriers and diversified its fleet mix over the past 5 years, but this is incremental asset acquisition rather than transformative innovation [1]. AI Deployment (0/2): No evidence of AI-powered products or measurable AI-driven operational savings in fleet management or chartering operations [2]. Market Share (1/2): SFL is a meaningful participant in maritime leasing with a $3.7 billion charter backlog and two-thirds of contracts with investment-grade counterparties, but it is not a category leader [1]. Pipeline (1/2): Management discussed fleet renewal and newbuild deliveries in Q4 2025 earnings, but no specific next-generation products or transformative initiatives with timelines [1]. R&amp;D Intensity (0/1): Maritime shipping companies have negligible R&amp;D spend; SFL operates as an asset management company with 24 employees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SFL's stated purpose is generic — focused on owning and chartering maritime assets to generate shareholder returns. No distinctive mission beyond capital allocation [3]. Community Impact (1/2): SFL has issued a $150 million sustainability-linked bond and publishes ESG reports covering emissions reduction and seafarer welfare, showing some community engagement [4]. Employee Retention (1/2): With only 24 onshore employees, meaningful retention data is limited, but the small team and long CEO tenure (Ole B. Hjertaker since 2009) suggest stability [2]. Insider Buying (0/2): No evidence of meaningful net insider buying found; the company's relationship with Hemen Holding (John Fredriksen's investment vehicle) dominates the ownership structure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SFL's financials are strained: D/E of 267.7% reflects heavy leverage typical of asset-intensive shipping [3]. ROE of -2.5% and profit margin of -3.7% indicate the company is currently unprofitable on a trailing basis [3]. Revenue declined 24.3% YoY as charter rates normalized from 2024 peaks [1]. Forward P/E of 26.1 is elevated for an unprofitable shipper. The payout ratio of 415% is unsustainable, and the recent dividend cut from $0.27 to $0.20 per quarter confirms earnings pressure [3]. Bright spots include 22 consecutive years of dividend payments and a $3.7 billion charter backlog providing cash flow visibility [1]. Liquidity floor passes: 1.6M avg volume x $10.82 = $17.4M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SFL operates with a moderately infinite mindset — the long-term charter model and 22-year dividend history suggest playing to endure. However, the company's identity as a John Fredriksen-controlled financial vehicle, combined with aggressive leverage and dividend cuts when earnings pressure mounts, reveals finite-game tendencies focused on capital extraction rather than purpose-driven longevity.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SFL's purpose is capital allocation in maritime assets — acquiring vessels and rigs at attractive prices and chartering them to quality counterparties. This is a financially rational strategy but not a Just Cause in Sinek's framework [3]. There is no articulated vision of a better future; the company exists to generate returns for shareholders, particularly its controlling shareholder Hemen Holding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24 employees, SFL operates as a lean asset management platform where trust is implicit in the small-team structure [3]. CEO Ole B. Hjertaker has led since 2009, providing leadership continuity. However, the company relies heavily on third-party vessel operators for day-to-day fleet management, making internal team dynamics less relevant to the business model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 positions itself as a diversified maritime asset platform rather than competing head-to-head in any single shipping segment [1]. Management commentary focuses on portfolio optimization and counterparty quality rather than beating specific competitors, suggesting an improvement-oriented rather than zero-sum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 has demonstrated incremental flexibility by diversifying from its original oil tanker focus into containers, car carriers, dry bulk, and offshore drilling [3]. The name change from Ship Finance International to SFL Corporation in 2019 signaled broader ambitions. However, these are evolutionary moves within maritime assets, not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 has shown some courage in maintaining dividends through volatile shipping cycles for 88 consecutive quarters, though the recent cut from $0.27 to $0.20 reveals limits to that commitment [1]. The company's willingness to invest in fleet expansion during cyclical troughs demonstrates some long-term thinking, but the heavy leverage and financial engineering suggest prioritizing returns over resilience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SFL Corporation offers a 7.4% dividend yield backed by a $3.7 billion charter backlog with two-thirds contracted to investment-grade counterparties, providing multi-year cash flow visibility [1]. The diversified fleet of 49 vessels across tankers, containers, car carriers, and rigs reduces single-segment exposure. At $10.82 per share, the stock trades near its 52-week low of $6.73, offering potential value if charter rates stabilize. The 22-year dividend track record and sustainability-linked bond framework appeal to income-focused investors. Maritime shipping remains a critical global infrastructure play that cannot be digitally disrupted [3].</w:t>
      </w:r>
    </w:p>
    <w:p>
      <w:pPr>
        <w:spacing w:after="120"/>
      </w:pPr>
      <w:r>
        <w:rPr>
          <w:rFonts w:ascii="Calibri" w:hAnsi="Calibri"/>
          <w:b w:val="0"/>
          <w:color w:val="3A4A28"/>
          <w:sz w:val="20"/>
        </w:rPr>
        <w:t>The bear case is significant: SFL is currently unprofitable with -2.5% ROE and -3.7% profit margin, and the 415% payout ratio is mathematically unsustainable [3]. The recent dividend cut from $0.27 to $0.20 per quarter signals management concern about near-term earnings capacity. Revenue declined 24.3% YoY as pandemic-era charter rates normalized [1]. Debt-to-equity of 267.7% leaves minimal financial cushion if charter counterparties default or rates decline further. The Hemen Holding/John Fredriksen control structure means minority shareholders have limited influence over capital allocation decisions. Shipping is notoriously cyclical, and SFL's heavy leverage amplifies both upside and downside through these cycles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container and tanker charter rates in H2 2026 could restore profitability and support the current $0.80 annual dividend [1]</w:t>
      </w:r>
    </w:p>
    <w:p>
      <w:pPr>
        <w:spacing w:before="40" w:after="40"/>
        <w:ind w:left="283"/>
      </w:pPr>
      <w:r>
        <w:rPr>
          <w:rFonts w:ascii="Calibri" w:hAnsi="Calibri"/>
          <w:b/>
          <w:color w:val="4A6B25"/>
          <w:sz w:val="20"/>
        </w:rPr>
        <w:t xml:space="preserve">2. </w:t>
      </w:r>
      <w:r>
        <w:rPr>
          <w:rFonts w:ascii="Calibri" w:hAnsi="Calibri"/>
          <w:b w:val="0"/>
          <w:color w:val="3A4A28"/>
          <w:sz w:val="20"/>
        </w:rPr>
        <w:t>Newbuild vessel deliveries and fleet renewal could improve operating efficiency and extend charter duration with modern eco-compliant vessels [1]</w:t>
      </w:r>
    </w:p>
    <w:p>
      <w:pPr>
        <w:spacing w:before="40" w:after="40"/>
        <w:ind w:left="283"/>
      </w:pPr>
      <w:r>
        <w:rPr>
          <w:rFonts w:ascii="Calibri" w:hAnsi="Calibri"/>
          <w:b/>
          <w:color w:val="4A6B25"/>
          <w:sz w:val="20"/>
        </w:rPr>
        <w:t xml:space="preserve">3. </w:t>
      </w:r>
      <w:r>
        <w:rPr>
          <w:rFonts w:ascii="Calibri" w:hAnsi="Calibri"/>
          <w:b w:val="0"/>
          <w:color w:val="3A4A28"/>
          <w:sz w:val="20"/>
        </w:rPr>
        <w:t>$3.7 billion charter backlog with investment-grade counterparties provides cash flow floor even in weak rate environments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415% payout ratio and recent dividend cut signal further distribution reductions are likely if earnings remain negative [3]</w:t>
      </w:r>
    </w:p>
    <w:p>
      <w:pPr>
        <w:spacing w:before="40" w:after="40"/>
        <w:ind w:left="283"/>
      </w:pPr>
      <w:r>
        <w:rPr>
          <w:rFonts w:ascii="Calibri" w:hAnsi="Calibri"/>
          <w:b/>
          <w:color w:val="4A6B25"/>
          <w:sz w:val="20"/>
        </w:rPr>
        <w:t xml:space="preserve">2. </w:t>
      </w:r>
      <w:r>
        <w:rPr>
          <w:rFonts w:ascii="Calibri" w:hAnsi="Calibri"/>
          <w:b w:val="0"/>
          <w:color w:val="3A4A28"/>
          <w:sz w:val="20"/>
        </w:rPr>
        <w:t>267.7% debt-to-equity ratio creates refinancing risk in a rising rate environment, with $2.57 billion in total debt against declining revenues [3]</w:t>
      </w:r>
    </w:p>
    <w:p>
      <w:pPr>
        <w:spacing w:before="40" w:after="40"/>
        <w:ind w:left="283"/>
      </w:pPr>
      <w:r>
        <w:rPr>
          <w:rFonts w:ascii="Calibri" w:hAnsi="Calibri"/>
          <w:b/>
          <w:color w:val="4A6B25"/>
          <w:sz w:val="20"/>
        </w:rPr>
        <w:t xml:space="preserve">3. </w:t>
      </w:r>
      <w:r>
        <w:rPr>
          <w:rFonts w:ascii="Calibri" w:hAnsi="Calibri"/>
          <w:b w:val="0"/>
          <w:color w:val="3A4A28"/>
          <w:sz w:val="20"/>
        </w:rPr>
        <w:t>Cyclical charter rate normalization after 2022-2024 supercycle could suppress revenues for multiple years, as shown by the 24.3% YoY revenue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SFL's business is fundamentally physical — owning and chartering tankers, bulk carriers, container ships, and drilling rigs. AI cannot replace physical maritime transportation or offshore drilling infrastructure [2]. Shipping demand is driven by global trade volumes and energy markets, not information processing that AI could displace. If anything, AI-driven economic growth increases demand for physical goods transportation. Regulatory complexity (IMO standards, flag state requirements) adds another layer of protection. AI Opportunity (0/1): SFL has no AI-related revenue streams. The company could benefit from AI in route optimization and predictive maintenance, but generates no quantifiable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SFL Corporation Q4 2025 Earnings Call Transcript, February 11, 2026 — $176M quarterly revenue, $3.7B charter backlog</w:t>
      </w:r>
    </w:p>
    <w:p>
      <w:pPr>
        <w:spacing w:before="20" w:after="20"/>
        <w:ind w:left="170"/>
      </w:pPr>
      <w:r>
        <w:rPr>
          <w:rFonts w:ascii="Calibri" w:hAnsi="Calibri"/>
          <w:b/>
          <w:color w:val="4A6B25"/>
          <w:sz w:val="15"/>
        </w:rPr>
        <w:t xml:space="preserve">2. </w:t>
      </w:r>
      <w:r>
        <w:rPr>
          <w:rFonts w:ascii="Calibri" w:hAnsi="Calibri"/>
          <w:b w:val="0"/>
          <w:color w:val="3A4A28"/>
          <w:sz w:val="17"/>
        </w:rPr>
        <w:t>SFL Corporation Board of Directors and Management — CEO Ole B. Hjertaker since 2009, Hemen Holding control structure</w:t>
      </w:r>
    </w:p>
    <w:p>
      <w:pPr>
        <w:spacing w:before="20" w:after="20"/>
        <w:ind w:left="170"/>
      </w:pPr>
      <w:r>
        <w:rPr>
          <w:rFonts w:ascii="Calibri" w:hAnsi="Calibri"/>
          <w:b/>
          <w:color w:val="4A6B25"/>
          <w:sz w:val="15"/>
        </w:rPr>
        <w:t xml:space="preserve">3. </w:t>
      </w:r>
      <w:r>
        <w:rPr>
          <w:rFonts w:ascii="Calibri" w:hAnsi="Calibri"/>
          <w:b w:val="0"/>
          <w:color w:val="3A4A28"/>
          <w:sz w:val="17"/>
        </w:rPr>
        <w:t>Yahoo Finance — SFL key statistics and financial data,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SFL Corporation ESG &amp; Sustainability page — sustainability-linked bond framework, emissions reduction targets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