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SFNC</w:t>
      </w:r>
      <w:r>
        <w:rPr>
          <w:rFonts w:ascii="Calibri" w:hAnsi="Calibri"/>
          <w:b/>
          <w:color w:val="1A2010"/>
          <w:sz w:val="40"/>
        </w:rPr>
        <w:t xml:space="preserve">  Simmons First National Corporation</w:t>
      </w:r>
    </w:p>
    <w:p>
      <w:pPr>
        <w:spacing w:after="120"/>
      </w:pPr>
      <w:r>
        <w:rPr>
          <w:rFonts w:ascii="Calibri" w:hAnsi="Calibri"/>
          <w:b/>
          <w:color w:val="6E8450"/>
          <w:sz w:val="18"/>
        </w:rPr>
        <w:t>DIVIDEND SLEEVE · 2026-05-01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Simmons First National Corporation operates as the bank holding company for Simmons Bank, providing banking and financial products and services including consumer, real estate, commercial, and agricultural loans, deposit accounts, credit cards, trust and fiduciary services, investments, insurance, and treasury management across the mid-South United States.</w:t>
      </w:r>
    </w:p>
    <w:p>
      <w:r>
        <w:rPr>
          <w:rFonts w:ascii="Calibri" w:hAnsi="Calibri"/>
          <w:b/>
          <w:color w:val="6E8450"/>
          <w:sz w:val="18"/>
        </w:rPr>
        <w:t>2,913 Employees · https://www.simmonsbank.com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 points — Simmons executed a transformative acquisition strategy over the past decade, growing from approximately $8B to $27B in total assets through strategic bank acquisitions across Arkansas, Tennessee, Missouri, and Texas, fundamentally reshaping the company from a small community bank into a major regional player [1]. AI Deployment: 0 points — no evidence of AI-powered products or quantified AI-driven efficiencies in earnings calls or public disclosures [2]. Market Share Leadership: 1 point — Simmons is a top-5 bank by deposits in Arkansas and has meaningful presence across the mid-South, though it is not a dominant category leader nationally [1]. Product Pipeline: 0 points — no next-generation products announced; focus remains on organic loan growth and deposit gathering. R&amp;D Intensity: 0 points — as a regional bank, technology spending is at or below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 points — Simmons Bank's purpose centers on community banking and powering economic growth in the regions it serves, a clear mission that identifies what the company does and for whom but does not articulate a deeper transformative vision [2]. Community &amp; Charitable Impact: 1 point — Simmons Bank Foundation supports local communities through grants and employee volunteer programs across its multi-state footprint, consistent with regional bank community reinvestment norms [3]. Employee Retention: 1 point — recognized by Newsweek as one of America's Greatest Workplaces 2025 in Arkansas, by U.S. News as Best Companies to Work For in the South, and by Forbes as Best-In-State Employers in Missouri, suggesting above-average employee satisfaction [2]. Insider Buying: 0 points — no specific insider buying data found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passes ($27.4M daily value traded). Exceptionally low leverage with D/E of 18.1% reflects a well-capitalized bank balance sheet [4]. Revenue grew 24.1% YoY driven by net interest income expansion and loan growth of 10% annualized in Q1 2026 [1]. Forward P/E of 9.7x represents compelling valuation for a growing regional bank. TTM profit margin and ROE are distorted by a large one-time impairment charge in Q3 2025 that created a -$562.8M loss; normalized Q1 2026 earnings of $68.5M ($0.47 EPS) indicate strong underlying profitability [1]. Dividend profile is solid: 39 consecutive years of payments since 1987, 14 consecutive years of dividend growth, and 4.05% yield, though payout ratio of 66.5% and 5yr CAGR of 4.6% are moderate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Simmons operates with a growth-through-acquisition playbook that has delivered impressive scale but reflects more of a finite 'get bigger' strategy than an infinite cause-driven mission. The CEO transition from George Makris to Jay Brogdon in January 2026 introduces uncertainty, though the deliberate succession planning suggests institutional stability. Workplace awards indicate decent organizational health, but the company lacks a distinctive Just Cause that would differentiate it from any other growth-oriented regional bank.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Simmons Bank's purpose of community banking and economic empowerment in the mid-South is genuine but shallow by Sinek's standards. The mission is interchangeable with any regional bank — 'we serve our communities through banking' does not describe a future state so compelling that people would sacrifice to advance it [2]. The acquisition-driven growth strategy, while successful, is fundamentally about scale rather than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Multiple workplace recognitions (Newsweek Greatest Workplaces, Forbes Best-In-State Employers, U.S. News Best Companies to Work For) suggest adequate trust and employee satisfaction [2]. The deliberate, multi-year CEO succession plan from Makris to Brogdon demonstrates organizational stability and leadership continuity. However, no specific data on voluntary turnover or employee tenure is available to confirm high-trust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0 points — Simmons' competitive language in earnings calls and investor presentations focuses on 'growing market share,' 'winning deposits,' and being the 'bank of choice' — finite competitive framing [1]. No evidence of management acknowledging competitors' strengths or using rivalry as motivation for self-improvement rather than conquest.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Simmons demonstrated meaningful strategic flexibility by transforming from a small Arkansas community bank into a $27B multi-state regional institution through over a dozen acquisitions over the past decade [1]. This represents genuine evolution, though the changes were incremental (buying more banks)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1 point — The decision to pursue aggressive M&amp;A growth during a period of banking consolidation required capital commitment and integration risk that many peers avoided. Management maintained the dividend through the Q3 2025 impairment event and continued investing in expansion despite near-term earnings volatility [1]. The planned CEO transition to an internal successor rather than an outside hire shows commitment to institutional continuity.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Simmons First National offers a compelling recovery story: Q1 2026 EPS of $0.47 (up 81% YoY) demonstrates normalized earnings power after the anomalous Q3 2025 impairment, with management guiding 9-11% net interest income growth for 2026 and 10% annualized loan growth already materializing [1]. At a forward P/E of 9.7x with a 4.05% dividend yield, 39 consecutive years of payments, and 14 years of consecutive dividend growth, the stock offers meaningful value and income for patient investors. The bank's low 18.1% D/E ratio provides balance sheet flexibility for continued growth.</w:t>
      </w:r>
    </w:p>
    <w:p>
      <w:pPr>
        <w:spacing w:after="120"/>
      </w:pPr>
      <w:r>
        <w:rPr>
          <w:rFonts w:ascii="Calibri" w:hAnsi="Calibri"/>
          <w:b w:val="0"/>
          <w:color w:val="3A4A28"/>
          <w:sz w:val="20"/>
        </w:rPr>
        <w:t>The bear case centers on concentration risk and leadership transition. Simmons' mid-South footprint leaves it exposed to regional economic weakness, and the CEO change from Makris to Brogdon introduces execution uncertainty during a critical growth phase. The TTM ROE of -10.4% and zero profit margin — while distorted by the Q3 2025 charge — raise questions about asset quality and whether additional impairments could surface. The 3.83 PEG ratio suggests the market is not pricing in aggressive growth, and rising fintech competition in consumer lending could pressure margins in smaller markets where Simmons competes.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net interest margin expansion through 2026 as fixed-rate assets reprice higher and deposit costs stabilize, with management guiding 9-11% NII growth</w:t>
      </w:r>
    </w:p>
    <w:p>
      <w:pPr>
        <w:spacing w:before="40" w:after="40"/>
        <w:ind w:left="283"/>
      </w:pPr>
      <w:r>
        <w:rPr>
          <w:rFonts w:ascii="Calibri" w:hAnsi="Calibri"/>
          <w:b/>
          <w:color w:val="4A6B25"/>
          <w:sz w:val="20"/>
        </w:rPr>
        <w:t xml:space="preserve">2. </w:t>
      </w:r>
      <w:r>
        <w:rPr>
          <w:rFonts w:ascii="Calibri" w:hAnsi="Calibri"/>
          <w:b w:val="0"/>
          <w:color w:val="3A4A28"/>
          <w:sz w:val="20"/>
        </w:rPr>
        <w:t>Successful CEO transition to Jay Brogdon, who was internally groomed and brings continuity to the acquisition-driven growth strategy</w:t>
      </w:r>
    </w:p>
    <w:p>
      <w:pPr>
        <w:spacing w:before="40" w:after="40"/>
        <w:ind w:left="283"/>
      </w:pPr>
      <w:r>
        <w:rPr>
          <w:rFonts w:ascii="Calibri" w:hAnsi="Calibri"/>
          <w:b/>
          <w:color w:val="4A6B25"/>
          <w:sz w:val="20"/>
        </w:rPr>
        <w:t xml:space="preserve">3. </w:t>
      </w:r>
      <w:r>
        <w:rPr>
          <w:rFonts w:ascii="Calibri" w:hAnsi="Calibri"/>
          <w:b w:val="0"/>
          <w:color w:val="3A4A28"/>
          <w:sz w:val="20"/>
        </w:rPr>
        <w:t>Potential M&amp;A activity as banking consolidation accelerates, with Simmons' strong capital position enabling accretive deals in the mid-South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Recurrence of asset quality issues — the Q3 2025 impairment that wiped out TTM earnings could signal deeper problems in the loan portfolio or acquired bank assets</w:t>
      </w:r>
    </w:p>
    <w:p>
      <w:pPr>
        <w:spacing w:before="40" w:after="40"/>
        <w:ind w:left="283"/>
      </w:pPr>
      <w:r>
        <w:rPr>
          <w:rFonts w:ascii="Calibri" w:hAnsi="Calibri"/>
          <w:b/>
          <w:color w:val="4A6B25"/>
          <w:sz w:val="20"/>
        </w:rPr>
        <w:t xml:space="preserve">2. </w:t>
      </w:r>
      <w:r>
        <w:rPr>
          <w:rFonts w:ascii="Calibri" w:hAnsi="Calibri"/>
          <w:b w:val="0"/>
          <w:color w:val="3A4A28"/>
          <w:sz w:val="20"/>
        </w:rPr>
        <w:t>Regional economic concentration in Arkansas, Tennessee, and Missouri leaves the bank vulnerable to localized downturns in agriculture, energy, or real estate</w:t>
      </w:r>
    </w:p>
    <w:p>
      <w:pPr>
        <w:spacing w:before="40" w:after="40"/>
        <w:ind w:left="283"/>
      </w:pPr>
      <w:r>
        <w:rPr>
          <w:rFonts w:ascii="Calibri" w:hAnsi="Calibri"/>
          <w:b/>
          <w:color w:val="4A6B25"/>
          <w:sz w:val="20"/>
        </w:rPr>
        <w:t xml:space="preserve">3. </w:t>
      </w:r>
      <w:r>
        <w:rPr>
          <w:rFonts w:ascii="Calibri" w:hAnsi="Calibri"/>
          <w:b w:val="0"/>
          <w:color w:val="3A4A28"/>
          <w:sz w:val="20"/>
        </w:rPr>
        <w:t>New CEO Jay Brogdon faces the challenge of maintaining Simmons' acquisition momentum while integrating recent deals and proving he can execute at the same level as predecessor George Makris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 points — Simmons Bank's core business of relationship-based community and commercial lending, deposit gathering, and trust services operates behind significant regulatory moats (banking charters, FDIC insurance, state/federal regulations) and requires physical branch infrastructure and local market knowledge that AI cannot easily replicate [1]. The bank's $27B asset base serves small to mid-sized businesses and consumers who value personal banking relationships. However, fintech and AI-powered lending platforms (SoFi, Upstart) represent emerging competitive pressure in consumer lending and deposit products, keeping the score below the IMMUNE tier [2]. AI Opportunity: 0 points — no evidence of AI-related revenue generation; the bank has not disclosed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Simmons First National Corporation Q1 2026 Earnings Release, April 2026</w:t>
      </w:r>
    </w:p>
    <w:p>
      <w:pPr>
        <w:spacing w:before="20" w:after="20"/>
        <w:ind w:left="170"/>
      </w:pPr>
      <w:r>
        <w:rPr>
          <w:rFonts w:ascii="Calibri" w:hAnsi="Calibri"/>
          <w:b/>
          <w:color w:val="4A6B25"/>
          <w:sz w:val="15"/>
        </w:rPr>
        <w:t xml:space="preserve">2. </w:t>
      </w:r>
      <w:r>
        <w:rPr>
          <w:rFonts w:ascii="Calibri" w:hAnsi="Calibri"/>
          <w:b w:val="0"/>
          <w:color w:val="3A4A28"/>
          <w:sz w:val="17"/>
        </w:rPr>
        <w:t>Simmons First National CEO retirement and leadership transition announcement, August 2025</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 Simmons First National Corp, accessed May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SFNC key statistics and financial data,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