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w:t>
      </w:r>
      <w:r>
        <w:rPr>
          <w:rFonts w:ascii="Calibri" w:hAnsi="Calibri"/>
          <w:b/>
          <w:color w:val="1A2010"/>
          <w:sz w:val="40"/>
        </w:rPr>
        <w:t xml:space="preserve">  Stifel Financial Corporation</w:t>
      </w:r>
    </w:p>
    <w:p>
      <w:pPr>
        <w:spacing w:after="120"/>
      </w:pPr>
      <w:r>
        <w:rPr>
          <w:rFonts w:ascii="Calibri" w:hAnsi="Calibri"/>
          <w:b/>
          <w:color w:val="6E8450"/>
          <w:sz w:val="18"/>
        </w:rPr>
        <w:t>GROWTH SLEEVE · 2026-04-26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Stifel Financial is a diversified financial services holding company that provides retail and institutional wealth management, investment banking, and commercial banking services through its principal subsidiary Stifel, Nicolaus &amp; Company. The firm serves individuals, corporations, municipalities, and institutions across the United States, United Kingdom, Canada, and Europe.</w:t>
      </w:r>
    </w:p>
    <w:p>
      <w:r>
        <w:rPr>
          <w:rFonts w:ascii="Calibri" w:hAnsi="Calibri"/>
          <w:b/>
          <w:color w:val="6E8450"/>
          <w:sz w:val="18"/>
        </w:rPr>
        <w:t>8,900 Employees · https://www.stifel.com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Stifel has executed a successful growth-through-acquisition strategy, completing numerous acquisitions over the past five years to expand its wealth management platform and geographic footprint, while growing net revenue from $4.3B in 2023 to $5.5B in 2025 [1]. The sale of Stifel Independent Advisors in Q1 2026 represents a strategic portfolio optimization. AI Deployment (0/2): CEO Ron Kruszewski has publicly stated 'advice is not an algorithm,' acknowledging AI's transformative potential but emphasizing human advisory relationships; no AI-powered products or quantified efficiency gains are reported [2]. Market Share (2/2): Stifel is the 7th largest full-service brokerage in the US with a strong middle-market investment banking franchise and growing share in equity research coverage, consistently ranked among top advisors for middle-market M&amp;A [1]. Pipeline (1/2): Management guided Q2 2026 NII of $280-290M with bank asset growth of up to $4B for the full year, and investment banking revenue expected to increase 30-40% YoY — specific and visible near-term drivers [1]. R&amp;D Intensity (1/1): While financial firms do not report traditional R&amp;D, Stifel invests heavily in technology platforms for its 8,900 employees and advisor workstations at a level consistent with capital markets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Stifel describes itself as dedicated to 'the highest standards of responsible and ethical business conduct' with governance focused on client, shareholder, and associate interests — clear but generic for a financial services firm, interchangeable with most broker-dealers [3]. Community Impact (1/2): Stifel publishes a Corporate Sustainability Report and maintains community programs, but specific charitable dollar amounts or distinctive community investment programs were not identified in research [3]. Employee Retention (1/2): With 8,900 employees and a Glassdoor rating of 3.9/5 with 4.0 work-life balance, Stifel shows adequate retention, though Comparably ratings are lower with leadership graded D+ (Bottom 25% of similar-sized companies) [2]. Insider Buying (1/2): CEO Kruszewski has led the company for 28+ years with significant equity exposure through compensation, demonstrating long-term alignment, though specific net insider buying data for the last 12 months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Stifel's financial profile is exceptionally strong for a mid-cap capital markets firm. Net revenue of $1.48B in Q1 2026 (up 18% YoY) with record full-year 2025 revenue of $5.46B demonstrates sustained momentum [1][4]. D/E of 37.7% is well below the 70% target, indicating a conservatively capitalized balance sheet. Forward P/E of 11.1x at a 1.01 PEG ratio represents compelling valuation for an 18%+ revenue growth business [4]. ROE of 11.4% is moderate but improving with earnings growth of 469% YoY (off a depressed Q1 2025 base). Profit margin of 15.4% is solid for a diversified financial services firm with banking operations. Revenue grew 18.4% YoY with a 3yr CAGR of ~8%, reflecting cyclical recovery in investment banking. Liquidity floor easily cleared: 1.6M avg vol × $77.19 = $126.6M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Stifel under Ron Kruszewski's 28-year tenure exemplifies patient, long-term thinking in an industry dominated by quarterly performance pressure. The acquisition-driven growth strategy, consistent dividend increases, and willingness to invest through market cycles reflect infinite game characteristics, though the competitive language around market share gains and rankings introduces finite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Stifel has a genuine purpose centered on serving the middle market — clients and companies too small for bulge bracket attention but too sophisticated for retail-only services. This purpose has been consistently executed through 28 years of Kruszewski's leadership, with strategic acquisitions and organic growth all serving this identity [1]. It's specific and authentic, differentiating Stifel from commodity broker-dealers, though it falls short of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Stifel's 3.9 Glassdoor rating and 4.0 work-life balance score suggest an adequate work environment for the demanding capital markets industry [2]. However, Comparably's Bottom 25% leadership grade and lower executive team ratings raise concerns about trust at senior levels. The firm's ability to retain advisors through market cycles and integrate numerous acquisitions without major cultural disruption suggests functional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Stifel competes against Raymond James, Piper Sandler, and Baird in the middle-market space, and management commentary focuses on improving advisory capabilities and expanding coverage rather than defeating specific competitors [1]. The firm's growth-through-acquisition strategy reflects learning from rivals' strengths — acquiring firms with complementary expertise rather than trying to out-compete them organically.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Stifel has evolved from a regional brokerage into a diversified national financial services firm through 30+ acquisitions, adding banking, institutional services, and European operations to its original retail platform [1]. The sale of Stifel Independent Advisors in Q1 2026 demonstrates willingness to prune misaligned businesses. These are meaningful but incremental transformations rather than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Kruszewski's 28-year tenure includes investing through the 2008 financial crisis and the 2022-2023 rate shock, acquiring firms when competitors retrenched. The 11% dividend increase announced alongside record 2025 results demonstrates confidence in sustained performance [1]. The firm has consistently chosen long-term capability building over short-term earnings optimization in its acquisition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Stifel Financial is a well-capitalized mid-cap financial services firm delivering accelerating growth — Q1 2026 net revenue of $1.48B (up 18% YoY) with record full-year 2025 revenue of $5.46B [1]. At 11.1x forward P/E with a 1.01 PEG ratio, the stock offers compelling value for a business guiding 30-40% investment banking revenue growth and $280-290M quarterly NII [1]. CEO Kruszewski's 28-year tenure has built a diversified franchise spanning wealth management, institutional brokerage, and commercial banking with conservative balance sheet management (D/E 37.7%). The firm's middle-market focus provides a durable competitive niche between bulge bracket banks and smaller regional firms, with 8,900 employees and growing market share in advisory and equity research.</w:t>
      </w:r>
    </w:p>
    <w:p>
      <w:pPr>
        <w:spacing w:after="120"/>
      </w:pPr>
      <w:r>
        <w:rPr>
          <w:rFonts w:ascii="Calibri" w:hAnsi="Calibri"/>
          <w:b w:val="0"/>
          <w:color w:val="3A4A28"/>
          <w:sz w:val="20"/>
        </w:rPr>
        <w:t>The bear case centers on cyclicality and AI exposure. Stifel's 18% revenue growth is heavily driven by cyclical recovery in investment banking and favorable market conditions — a downturn in M&amp;A activity or equity markets could sharply compress earnings. ROE of 11.4% is below the 15% target, reflecting the lower returns inherent in the banking segment that now contributes meaningfully to revenue. Profit margins of 15.4% are thin for a financial services firm, limiting operating leverage during downturns. The Comparably leadership ratings (Bottom 25%) raise organizational culture concerns that could affect advisor retention in a competitive recruiting environment [2]. AI poses a structural threat to equity research and institutional brokerage, and Stifel has not articulated a clear AI strategy beyond acknowledging its potential. The 1.63% dividend yield is below the 2% threshold, offering limited downside protection for income-oriented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revenue guided to increase 30-40% in Q1 2026 vs prior year, with a robust M&amp;A advisory pipeline benefiting from middle-market deal flow recovery [1]</w:t>
      </w:r>
    </w:p>
    <w:p>
      <w:pPr>
        <w:spacing w:before="40" w:after="40"/>
        <w:ind w:left="283"/>
      </w:pPr>
      <w:r>
        <w:rPr>
          <w:rFonts w:ascii="Calibri" w:hAnsi="Calibri"/>
          <w:b/>
          <w:color w:val="4A6B25"/>
          <w:sz w:val="20"/>
        </w:rPr>
        <w:t xml:space="preserve">2. </w:t>
      </w:r>
      <w:r>
        <w:rPr>
          <w:rFonts w:ascii="Calibri" w:hAnsi="Calibri"/>
          <w:b w:val="0"/>
          <w:color w:val="3A4A28"/>
          <w:sz w:val="20"/>
        </w:rPr>
        <w:t>Bank asset growth of up to $4B planned for full-year 2026, driving NII expansion to $280-290M quarterly from balance sheet scaling [1]</w:t>
      </w:r>
    </w:p>
    <w:p>
      <w:pPr>
        <w:spacing w:before="40" w:after="40"/>
        <w:ind w:left="283"/>
      </w:pPr>
      <w:r>
        <w:rPr>
          <w:rFonts w:ascii="Calibri" w:hAnsi="Calibri"/>
          <w:b/>
          <w:color w:val="4A6B25"/>
          <w:sz w:val="20"/>
        </w:rPr>
        <w:t xml:space="preserve">3. </w:t>
      </w:r>
      <w:r>
        <w:rPr>
          <w:rFonts w:ascii="Calibri" w:hAnsi="Calibri"/>
          <w:b w:val="0"/>
          <w:color w:val="3A4A28"/>
          <w:sz w:val="20"/>
        </w:rPr>
        <w:t>Eleven consecutive years of dividend increases (11% raise announced with 2025 results) signals management confidence in sustained earnings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 investment banking and institutional brokerage revenues are highly correlated with market conditions, and a recession or M&amp;A slowdown could sharply reverse recent growth [1]</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to equity research and institutional services as algorithmic analytics and AI-powered trading tools increasingly compete with traditional sell-side functions [2]</w:t>
      </w:r>
    </w:p>
    <w:p>
      <w:pPr>
        <w:spacing w:before="40" w:after="40"/>
        <w:ind w:left="283"/>
      </w:pPr>
      <w:r>
        <w:rPr>
          <w:rFonts w:ascii="Calibri" w:hAnsi="Calibri"/>
          <w:b/>
          <w:color w:val="4A6B25"/>
          <w:sz w:val="20"/>
        </w:rPr>
        <w:t xml:space="preserve">3. </w:t>
      </w:r>
      <w:r>
        <w:rPr>
          <w:rFonts w:ascii="Calibri" w:hAnsi="Calibri"/>
          <w:b w:val="0"/>
          <w:color w:val="3A4A28"/>
          <w:sz w:val="20"/>
        </w:rPr>
        <w:t>Below-target ROE of 11.4% with 15.4% profit margins limits earnings power relative to better-positioned capital markets peers, particularly during market 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Stifel's business model is partially protected from AI disruption through its relationship-driven wealth management and middle-market investment banking franchise, where human judgment and client trust remain critical [2]. CEO Kruszewski's assertion that 'advice is not an algorithm' reflects the advisory moat. However, equity research, institutional brokerage, and parts of the trading business face meaningful AI exposure as algorithmic tools and AI-powered analytics increasingly compete with traditional sell-side services. The banking arm (NII, lending) is structurally insulated from AI substitution. AI Opportunity (0/1): Stifel does not generate revenue from AI products or services; AI is positioned as a potential internal productivity tool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Stifel Financial Q1 2026 Earnings Release — $1.48B net revenue, 18% YoY growth, Q2 NII guidance $280-290M, April 22, 2026</w:t>
      </w:r>
    </w:p>
    <w:p>
      <w:pPr>
        <w:spacing w:before="20" w:after="20"/>
        <w:ind w:left="170"/>
      </w:pPr>
      <w:r>
        <w:rPr>
          <w:rFonts w:ascii="Calibri" w:hAnsi="Calibri"/>
          <w:b/>
          <w:color w:val="4A6B25"/>
          <w:sz w:val="15"/>
        </w:rPr>
        <w:t xml:space="preserve">2. </w:t>
      </w:r>
      <w:r>
        <w:rPr>
          <w:rFonts w:ascii="Calibri" w:hAnsi="Calibri"/>
          <w:b w:val="0"/>
          <w:color w:val="3A4A28"/>
          <w:sz w:val="17"/>
        </w:rPr>
        <w:t>Glassdoor / Comparably — Stifel Financial employee reviews (3.9/5 Glassdoor, D+ leadership on Comparably), CEO commentary on AI,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Stifel Financial Corporate Sustainability Report 2024 — ESG disclosures, responsible business conduct,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SF (Stifel Financial),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