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SGHC</w:t>
      </w:r>
      <w:r>
        <w:rPr>
          <w:rFonts w:ascii="Calibri" w:hAnsi="Calibri"/>
          <w:b/>
          <w:color w:val="1A2010"/>
          <w:sz w:val="40"/>
        </w:rPr>
        <w:t xml:space="preserve">  Super Group (SGHC) Limited</w:t>
      </w:r>
    </w:p>
    <w:p>
      <w:pPr>
        <w:spacing w:after="120"/>
      </w:pPr>
      <w:r>
        <w:rPr>
          <w:rFonts w:ascii="Calibri" w:hAnsi="Calibri"/>
          <w:b/>
          <w:color w:val="6E8450"/>
          <w:sz w:val="18"/>
        </w:rPr>
        <w:t>GROWTH SLEEVE · 2026-04-13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Guernsey</w:t>
      </w:r>
    </w:p>
    <w:p>
      <w:pPr>
        <w:spacing w:after="80"/>
      </w:pPr>
      <w:r>
        <w:rPr>
          <w:rFonts w:ascii="Calibri" w:hAnsi="Calibri"/>
          <w:b w:val="0"/>
          <w:color w:val="3A4A28"/>
          <w:sz w:val="20"/>
        </w:rPr>
        <w:t>Super Group (SGHC) Limited is a Guernsey-based global online gambling operator running two consumer brands: Betway (sports betting) and Spin (online casino). The company operates across regulated markets in Europe, Africa, Latin America, and Canada, with approximately 4,000 employees in nearly 20 countries and 6M+ monthly active customers. Led by co-founder and CEO Neal Menashe.</w:t>
      </w:r>
    </w:p>
    <w:p>
      <w:r>
        <w:rPr>
          <w:rFonts w:ascii="Calibri" w:hAnsi="Calibri"/>
          <w:b/>
          <w:color w:val="6E8450"/>
          <w:sz w:val="18"/>
        </w:rPr>
        <w:t>4,000 Employees · https://www.sghc.com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Full-year 2025 revenue of $2.2B (+22%) with Adjusted EBITDA of $560M (+57%) at a ~25% margin — a genuine breakout year [1][2]. Q4 2025 set records in monthly active customers (6M+), wagers, and deposits [2]. AI Deployment (1/2): Management and CEO Neal Menashe publicly discussed AI integration (Supercoin, AI in CRM and product personalization) though concrete AI-product disclosure remains light [3]. Market Share (1/2): Dominant operator in Africa and Canada via Betway; strong Spin casino franchise; but no meaningful U.S. presence after exiting U.S. iGaming and U.S. sportsbook [1][2]. Pipeline (1/2): 2026 guidance of at least $2.55B revenue and $680M+ Adjusted EBITDA (&gt;20% growth) with FIFA World Cup uplift; Apricot transaction brings sportsbook tech in-house with $35M annualized EBITDA savings targeted in 2026 [1][2]. R&amp;D Intensity (0/1): Tech platform spend is material but not disclosed as a %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Online sports betting and casino gaming sit at the commercial end of consumer services; the inherent product (gambling) imposes a mission ceiling regardless of operator quality, reflected in the Inspire Insight negative attribution for 'Gambling' [4]. Community Impact (1/2): Betway is a Responsible Gambling Trust supporter and SGHC operates only in regulated markets; no major public fines surfaced, but gambling-harm externalities are structural [4]. Employee Retention (1/2): 40+ employees with 20+ years of tenure, including Menashe and CFO Alinda van Wyk — genuinely high retention for a tech-services business [3]. Insider Buying (0/2): Notable insider SELLING in April 2026 — CEO Menashe sold 78,530 shares (~$841K), CFO van Wyk sold 51,104 shares (~$547K), and General Counsel Nathan sold 4,761 shares in the weeks before this screen [5][6].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SGHC has an unusually strong balance sheet for a gaming operator: D/E of just 0.02 (essentially debt-free) and a 2.0% dividend yield at $0.20 annualized (raised from $0.04 to $0.05 quarterly) [6]. Trailing P/E of 23.8x is reasonable relative to 22% revenue growth and 57% EBITDA growth in 2025 [1][6]. Full-year 2025 Adjusted EBITDA margin of ~25% and 2026 guidance of at least $2.55B revenue and $680M+ Adjusted EBITDA imply ~27% margin expansion [1][2]. The company returned $156M to shareholders in 2025 including a &gt;$125M extra special dividend, and raised the quarterly dividend minimum target [1]. Market cap of ~$5.16B; liquidity floor cleared. Stock at $10.24 sits near its 50-day SMA but below the 200-day of $11.15, and within a 52-week range of $6.72-$14.38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SGHC shows several infinite-game characteristics — a co-founder CEO with 5+ years in the top seat (and 20+ years in the business), deep employee tenure, minimal debt, and willingness to exit the U.S. when the unit economics didn't work. But the product itself (gambling) and the April 2026 insider-sell cluster put a ceiling on the infinite score.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'entertainment' via sports betting and casino gaming is a legitimate regulated product, but it is not a transcendent just cause — it's a commercial offering with well-documented external harms reflected in the Inspire Insight 'Gambling' negative attribution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40+ employees with 20+ year tenure including CEO Menashe and CFO van Wyk is remarkable in a fast-moving tech-gaming industry [3]. The Apricot tech in-housing and Betway platform integration require high-trust operational teams.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Super Group competes against Entain, Flutter (FanDuel, Paddy Power), DraftKings, Bet365, and regional operators. Exiting the U.S. market shows SGHC recognizes where worthy rivals have structural advantage and rationally reallocates capital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U.S. sportsbook exit and 2025 U.S. iGaming exit, plus bringing Apricot's sportsbook tech in-house, are meaningful operating-model pivots [1][2]. Willingness to walk away from a headline-grabbing market and rebuild the tech stack shows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Raising the minimum dividend target and paying a $125M+ special dividend in 2025 shows conviction in the cash-flow story [1]. However, the April 2026 cluster of CEO, CFO, and General Counsel insider selling just ahead of this screen softens the courage-to-lead signal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Super Group is a globally diversified online gambling operator (Betway sportsbook, Spin casino) delivering a breakout 2025: revenue of $2.2B (+22%) and Adjusted EBITDA of $560M (+57%) at a ~25% margin, with monthly active customers topping 6M [1][2]. 2026 guidance of at least $2.55B revenue and $680M+ Adjusted EBITDA (&gt;20% organic growth) is boosted by a FIFA World Cup uplift and $35M in annualized EBITDA savings from the Apricot in-housing of Betway sportsbook technology [1][2]. The balance sheet is pristine — D/E of just 0.02 — and the dividend yield of 2.0% (raised to $0.05/quarter) plus a 2025 special dividend &gt;$125M show real capital return discipline [6]. Co-founder CEO Neal Menashe and 40+ employees with 20+ year tenure give the business a continuity most digital-gaming peers lack [3].</w:t>
      </w:r>
    </w:p>
    <w:p>
      <w:pPr>
        <w:spacing w:after="120"/>
      </w:pPr>
      <w:r>
        <w:rPr>
          <w:rFonts w:ascii="Calibri" w:hAnsi="Calibri"/>
          <w:b w:val="0"/>
          <w:color w:val="3A4A28"/>
          <w:sz w:val="20"/>
        </w:rPr>
        <w:t>The structural and near-term negatives keep this a WATCH. The product itself (gambling) carries inherent externalities that the Inspire Insight -1 score and 'Gambling' negative attribution formalize — a hard faith-alignment ceiling that no operator-level quality can offset [4]. The 2024-2025 U.S. sportsbook and iGaming exits, while rational on unit economics, mean SGHC is no longer participating in the largest growth market and is now heavily dependent on Africa, Canada, Europe, and LatAm — markets with regulatory and FX variability [1][2]. The April 2026 cluster of insider selling (CEO ~$841K, CFO ~$547K, General Counsel ~$507K, plus additional insider sales) right before this screen is a meaningful negative sentiment signal [5][6]. Competition from Flutter, Entain, Bet365, and Apricot's former customers is intense. At ~$10.24 and 23.8x trailing P/E with stock still below the 200-day SMA, a better entry point likely emerges — WATCH.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at least $2.55B and Adjusted EBITDA of $680M+ (&gt;20% growth) with FIFA World Cup uplift [1][2]</w:t>
      </w:r>
    </w:p>
    <w:p>
      <w:pPr>
        <w:spacing w:before="40" w:after="40"/>
        <w:ind w:left="283"/>
      </w:pPr>
      <w:r>
        <w:rPr>
          <w:rFonts w:ascii="Calibri" w:hAnsi="Calibri"/>
          <w:b/>
          <w:color w:val="4A6B25"/>
          <w:sz w:val="20"/>
        </w:rPr>
        <w:t xml:space="preserve">2. </w:t>
      </w:r>
      <w:r>
        <w:rPr>
          <w:rFonts w:ascii="Calibri" w:hAnsi="Calibri"/>
          <w:b w:val="0"/>
          <w:color w:val="3A4A28"/>
          <w:sz w:val="20"/>
        </w:rPr>
        <w:t>$35M annualized EBITDA savings from the Apricot in-housing of Betway sportsbook technology, expected to be realized in 2026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raises (quarterly minimum increased from $0.04 to $0.05) plus record 6M+ monthly active customers supporting capital return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'Gambling' negative attribution and harm-related reputational risk create a hard ceiling on multiple expansion and faith-aligned ownership [4]</w:t>
      </w:r>
    </w:p>
    <w:p>
      <w:pPr>
        <w:spacing w:before="40" w:after="40"/>
        <w:ind w:left="283"/>
      </w:pPr>
      <w:r>
        <w:rPr>
          <w:rFonts w:ascii="Calibri" w:hAnsi="Calibri"/>
          <w:b/>
          <w:color w:val="4A6B25"/>
          <w:sz w:val="20"/>
        </w:rPr>
        <w:t xml:space="preserve">2. </w:t>
      </w:r>
      <w:r>
        <w:rPr>
          <w:rFonts w:ascii="Calibri" w:hAnsi="Calibri"/>
          <w:b w:val="0"/>
          <w:color w:val="3A4A28"/>
          <w:sz w:val="20"/>
        </w:rPr>
        <w:t>April 2026 cluster of insider selling by CEO Menashe, CFO van Wyk, General Counsel Nathan, and other insiders just ahead of this screen is a negative alignment signal [5][6]</w:t>
      </w:r>
    </w:p>
    <w:p>
      <w:pPr>
        <w:spacing w:before="40" w:after="40"/>
        <w:ind w:left="283"/>
      </w:pPr>
      <w:r>
        <w:rPr>
          <w:rFonts w:ascii="Calibri" w:hAnsi="Calibri"/>
          <w:b/>
          <w:color w:val="4A6B25"/>
          <w:sz w:val="20"/>
        </w:rPr>
        <w:t xml:space="preserve">3. </w:t>
      </w:r>
      <w:r>
        <w:rPr>
          <w:rFonts w:ascii="Calibri" w:hAnsi="Calibri"/>
          <w:b w:val="0"/>
          <w:color w:val="3A4A28"/>
          <w:sz w:val="20"/>
        </w:rPr>
        <w:t>Post U.S. exit the business is concentrated in Africa, Canada, Europe, and LatAm — markets with elevated regulatory, tax (UK Autumn Statement), and FX variability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gaming is a digital-native business where AI could be both tool and disruptor — AI-powered competitors could materially improve personalization, product velocity, and promotion targeting in ways that erode SGHC's brand-led moat [3]. Betway and Spin brand equity, sports sponsorships, and regulatory licensing in 20+ countries provide meaningful moats that are AI-resistant in the near term [2]. AI Opportunity (1/1): SGHC is actively integrating AI into CRM, personalization, and the Apricot in-housed sportsbook technology platform (with $35M annualized EBITDA savings) — a real near-term AI margin story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Super Group Q4 and Full-Year 2025 Earnings Release — StockTitan / Businesswire, February 23, 2026</w:t>
      </w:r>
    </w:p>
    <w:p>
      <w:pPr>
        <w:spacing w:before="20" w:after="20"/>
        <w:ind w:left="170"/>
      </w:pPr>
      <w:r>
        <w:rPr>
          <w:rFonts w:ascii="Calibri" w:hAnsi="Calibri"/>
          <w:b/>
          <w:color w:val="4A6B25"/>
          <w:sz w:val="15"/>
        </w:rPr>
        <w:t xml:space="preserve">2. </w:t>
      </w:r>
      <w:r>
        <w:rPr>
          <w:rFonts w:ascii="Calibri" w:hAnsi="Calibri"/>
          <w:b w:val="0"/>
          <w:color w:val="3A4A28"/>
          <w:sz w:val="17"/>
        </w:rPr>
        <w:t>Super Group Q4 2025 Earnings Call Transcript and 2026 Guidance — Motley Fool / Yahoo Finance, February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Bloomberg, The Org — Super Group leadership profiles for Neal Menashe,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Wikipedia and Super Group corporate site — company overview, Betway responsible gambling disclosures</w:t>
      </w:r>
    </w:p>
    <w:p>
      <w:pPr>
        <w:spacing w:before="20" w:after="20"/>
        <w:ind w:left="170"/>
      </w:pPr>
      <w:r>
        <w:rPr>
          <w:rFonts w:ascii="Calibri" w:hAnsi="Calibri"/>
          <w:b/>
          <w:color w:val="4A6B25"/>
          <w:sz w:val="15"/>
        </w:rPr>
        <w:t xml:space="preserve">5. </w:t>
      </w:r>
      <w:r>
        <w:rPr>
          <w:rFonts w:ascii="Calibri" w:hAnsi="Calibri"/>
          <w:b w:val="0"/>
          <w:color w:val="3A4A28"/>
          <w:sz w:val="17"/>
        </w:rPr>
        <w:t>Defense World and Daily Political — SGHC insider sales filings by CEO Menashe, CFO van Wyk, General Counsel Nathan, April 10-13 2026</w:t>
      </w:r>
    </w:p>
    <w:p>
      <w:pPr>
        <w:spacing w:before="20" w:after="20"/>
        <w:ind w:left="170"/>
      </w:pPr>
      <w:r>
        <w:rPr>
          <w:rFonts w:ascii="Calibri" w:hAnsi="Calibri"/>
          <w:b/>
          <w:color w:val="4A6B25"/>
          <w:sz w:val="15"/>
        </w:rPr>
        <w:t xml:space="preserve">6. </w:t>
      </w:r>
      <w:r>
        <w:rPr>
          <w:rFonts w:ascii="Calibri" w:hAnsi="Calibri"/>
          <w:b w:val="0"/>
          <w:color w:val="3A4A28"/>
          <w:sz w:val="17"/>
        </w:rPr>
        <w:t>Morningstar / Yahoo Finance — SGHC valuation (P/E, D/E, dividend yield, market cap),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