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SGI</w:t>
      </w:r>
      <w:r>
        <w:rPr>
          <w:rFonts w:ascii="Calibri" w:hAnsi="Calibri"/>
          <w:b/>
          <w:color w:val="1A2010"/>
          <w:sz w:val="40"/>
        </w:rPr>
        <w:t xml:space="preserve">  Somnigroup International Inc.</w:t>
      </w:r>
    </w:p>
    <w:p>
      <w:pPr>
        <w:spacing w:after="120"/>
      </w:pPr>
      <w:r>
        <w:rPr>
          <w:rFonts w:ascii="Calibri" w:hAnsi="Calibri"/>
          <w:b/>
          <w:color w:val="6E8450"/>
          <w:sz w:val="18"/>
        </w:rPr>
        <w:t>GROWTH SLEEVE · 2026-04-21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Somnigroup International (formerly Tempur Sealy International) is the world's largest and most profitable bedding company, designing, manufacturing, distributing, and retailing mattresses, foundations, and accessories under the Tempur-Pedic, Sealy, Stearns &amp; Foster, and Sleepy's brands. Following the 2025 Mattress Firm acquisition, the company operates vertically integrated retail through Mattress Firm, Dreams, and company-owned stores across 100+ countries.</w:t>
      </w:r>
    </w:p>
    <w:p>
      <w:r>
        <w:rPr>
          <w:rFonts w:ascii="Calibri" w:hAnsi="Calibri"/>
          <w:b/>
          <w:color w:val="6E8450"/>
          <w:sz w:val="18"/>
        </w:rPr>
        <w:t>19,000 Employees · https://somnigroup.com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$4B Mattress Firm acquisition (closed January 2025) transformed Tempur Sealy into a vertically integrated sleep company, renamed Somnigroup, with combined revenue surging 54.7% to $7.48B [1]. The company also acquired an equity interest in Fullpower-AI for $25M, securing exclusive rights to AI-powered Sleeptracker technology through 2036 [2]. These are significant strategic moves but acquisitive rather than organic innovation. AI Deployment (2/2): Over 300,000 Tempur-Pedic smartbeds are equipped with Fullpower-AI's Sleeptracker-AI platform, collecting 250 million nights of sleep data validated by Stanford and UCSF for biosensing, apnea detection, and real-time coaching [2]. Smart bases carry a 30% price premium over traditional models, directly monetizing AI. Market Share (2/2): Somnigroup is the world's largest bedding company — Sealy is the #1 mattress brand in the US, Tempur-Pedic dominates the premium segment, and with Mattress Firm the company controls the largest specialty mattress retail network [1]. Pipeline (1/2): Fullpower-AI integration across global Tempur-Pedic smartbed ecosystem through 2036 and $100M+ in synergies from Mattress Firm integration ($50M incremental in 2026), but no breakthrough next-gen product with specific launch dates disclosed [1][2]. R&amp;D Intensity (0/1): R&amp;D spending is modest for a consumer goods company; innovation is primarily through M&amp;A (Fullpower-AI, Mattress Firm) rather than internal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Somnigroup's stated purpose centers on improving sleep quality for consumers worldwide — a clear connection between product and human wellbeing, but the mission is not deeply distinctive or transformative. The rebranding from Tempur Sealy to Somnigroup reflects strategic ambition but the mission statement remains functional [2]. Community Impact (1/2): The company achieved zero waste to landfill status across manufacturing and corporate offices and set a carbon neutrality goal for 2040 [3]. Published Corporate Social Values Reports document environmental and social progress. Employee Retention (1/2): CEO Scott Thompson has served since 2015 (10+ year tenure), providing leadership continuity [2]. However, Glassdoor reviews cite cultural tensions — Thompson's self-described focus on 'managing Wall Street' and concerns about H Partners' shareholder influence deprioritizing employees and customers suggest mixed internal sentiment [2]. Insider Buying (1/2): Thompson holds significant stock-based compensation aligning interests, but no evidence of substantial open-market insider purchases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Somnigroup's post-acquisition profile shows dramatic growth — revenue of $7.48B (up 54.7% YoY) driven by the Mattress Firm inclusion, though organic growth guidance is mid-single digits starting 2026 [1]. Forward P/E of 20.9x with PEG of 0.83 suggests reasonable valuation for the growth trajectory. ROE of 20.9% exceeds the 15% target despite D/E of 214% (elevated from acquisition debt but within scoring range) [4]. The key weakness is profit margin of 5.1% — thin for a branded consumer goods company, reflecting Mattress Firm's lower-margin retail operations diluting Tempur Sealy's historically stronger margins. EPS is expected to grow from $1.84 trailing to $4.04 forward as synergies flow through [4]. $100M+ in run-rate synergies expected ($50M incremental in 2026) should expand margins over time. Liquidity floor easily cleared: 2.5M avg daily volume × $84.54 = $213M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Somnigroup plays a mixed game — the long-term investment in AI sleep technology (exclusive Fullpower-AI partnership through 2036) and the transformative Mattress Firm acquisition demonstrate strategic vision, but CEO Thompson's focus on 'managing Wall Street' and H Partners' activist influence suggest finite-game financial optimization coexists with longer-term brand building. The company's 180-year heritage (founded 1846) provides institutional longevity.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sleep for consumers worldwide through innovative materials and AI-powered personalization is a genuine purpose that connects to human wellbeing — the Sleeptracker-AI platform collecting 250 million nights of data for health insights gives the cause substance beyond marketing [2]. The rebranding to Somnigroup signals ambition to transcend mattress manufacturing into a sleep wellness company. However, the activist shareholder influence (H Partners) and acquisition-driven strategy suggest financial engineering competes with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Thompson's 10+ year tenure provides stability, and the company employs 19,000 people across manufacturing, retail, and corporate functions [2]. However, Glassdoor reviews flag cultural tensions — employees cite that since H Partners became the primary shareholder, customer and employee priorities have declined relative to Wall Street management [2]. The Mattress Firm integration adds integration complexity that may strain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Somnigroup's competitive language emphasizes dominance — 'world's largest and most profitable bedding company,' #1 brand position, and the Mattress Firm acquisition to control retail distribution [1]. The strategy is to vertically integrate and outscale competitors (Serta Simmons, Sleep Number, Casper) rather than learn from their strengths. This is finite competitive thinking focused on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mattress manufacturer (Tempur Sealy) to a vertically integrated sleep company (Somnigroup) through the $4B Mattress Firm acquisition and AI sleep technology investment represents meaningful strategic evolution [1][2]. The company is actively expanding from product manufacturing into retail and digital health. However, the core business remains mattress-centric and the flexibility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$4B Mattress Firm acquisition was a bold bet on vertical integration that added significant debt (D/E 214%) and required FTC concessions (selling Sleep Outfitters stores) [1][3]. The $25M Fullpower-AI investment and 10-year exclusive licensing deal demonstrate willingness to bet on AI sleep technology before the market validated it [2]. These are courageous capital allocation decisions, though primarily driven by competitive positioning rather than Just Cause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Somnigroup is the world's largest bedding company following the transformative $4B Mattress Firm acquisition, generating $7.48B revenue (up 54.7% YoY) with a clear path to margin expansion through $100M+ in run-rate synergies ($50M incremental in 2026) [1]. At 20.9x forward P/E with PEG of 0.83, the stock is attractively valued relative to EPS growth from $1.84 to $4.04 forward [4]. The vertical integration strategy — owning manufacturing (Tempur-Pedic, Sealy), retail (Mattress Firm, 2,300+ stores), and AI sleep technology (Fullpower-AI exclusive through 2036) — creates competitive moats across the sleep value chain. The 300,000+ AI-powered smartbeds commanding 30% price premiums demonstrate innovation monetization [2]. CEO Scott Thompson's 10-year track record includes establishing Sealy as the #1 US mattress brand and growing Tempur-Pedic's direct-to-consumer channel significantly.</w:t>
      </w:r>
    </w:p>
    <w:p>
      <w:pPr>
        <w:spacing w:after="120"/>
      </w:pPr>
      <w:r>
        <w:rPr>
          <w:rFonts w:ascii="Calibri" w:hAnsi="Calibri"/>
          <w:b w:val="0"/>
          <w:color w:val="3A4A28"/>
          <w:sz w:val="20"/>
        </w:rPr>
        <w:t>The bear case centers on integration execution risk and a levered balance sheet. D/E of 214% reflects the $4B Mattress Firm acquisition debt, creating interest rate sensitivity and limiting financial flexibility [4]. Profit margin of just 5.1% is thin — Mattress Firm's lower-margin retail operations dilute Tempur Sealy's historically higher manufacturing margins, and if synergies underdeliver (only $15M realized in 2025 vs. $50M target for 2026), margin compression could persist [1]. Organic revenue growth guidance of mid-single digits post-acquisition suggests the 54.7% top-line surge is one-time. The mattress industry is cyclical and sensitive to housing market activity and consumer confidence — a recession would pressure both retail foot traffic and premium mattress purchases. Glassdoor reviews flagging cultural deterioration under H Partners' activist influence raise concerns about long-term organizational health [2]. The FTC required Sleep Outfitters divestitures for the Mattress Firm deal to proceed, signaling regulatory scrutiny of market concentration [3]. Trailing P/E of 45.9x reflects acquisition-related charges that depress near-term earnings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Mattress Firm synergy realization — $50M incremental net cost synergies targeted for 2026 (with $35M more in 2027) could expand profit margins from the current 5.1% and drive EPS toward the $4.04 forward estimate [1]</w:t>
      </w:r>
    </w:p>
    <w:p>
      <w:pPr>
        <w:spacing w:before="40" w:after="40"/>
        <w:ind w:left="283"/>
      </w:pPr>
      <w:r>
        <w:rPr>
          <w:rFonts w:ascii="Calibri" w:hAnsi="Calibri"/>
          <w:b/>
          <w:color w:val="4A6B25"/>
          <w:sz w:val="20"/>
        </w:rPr>
        <w:t xml:space="preserve">2. </w:t>
      </w:r>
      <w:r>
        <w:rPr>
          <w:rFonts w:ascii="Calibri" w:hAnsi="Calibri"/>
          <w:b w:val="0"/>
          <w:color w:val="3A4A28"/>
          <w:sz w:val="20"/>
        </w:rPr>
        <w:t>AI sleep technology scaling — 300,000+ Fullpower-AI smartbeds deployed at 30% price premiums, with exclusive global rights through 2036 and 250M nights of validated sleep data creating a defensible health-tech platform [2]</w:t>
      </w:r>
    </w:p>
    <w:p>
      <w:pPr>
        <w:spacing w:before="40" w:after="40"/>
        <w:ind w:left="283"/>
      </w:pPr>
      <w:r>
        <w:rPr>
          <w:rFonts w:ascii="Calibri" w:hAnsi="Calibri"/>
          <w:b/>
          <w:color w:val="4A6B25"/>
          <w:sz w:val="20"/>
        </w:rPr>
        <w:t xml:space="preserve">3. </w:t>
      </w:r>
      <w:r>
        <w:rPr>
          <w:rFonts w:ascii="Calibri" w:hAnsi="Calibri"/>
          <w:b w:val="0"/>
          <w:color w:val="3A4A28"/>
          <w:sz w:val="20"/>
        </w:rPr>
        <w:t>Vertical integration advantages — controlling manufacturing, retail (2,300+ stores), and digital channels enables data-driven merchandising, proprietary product placement, and margin capture across the sleep value chain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Mattress Firm integration execution risk — realizing $100M+ synergies requires complex operational integration of a 2,300-store retail network with existing manufacturing and distribution, and only $15M was captured in 2025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214% D/E from the $4B acquisition creates interest rate sensitivity and reduces financial flexibility for additional investments or economic downturns [4]</w:t>
      </w:r>
    </w:p>
    <w:p>
      <w:pPr>
        <w:spacing w:before="40" w:after="40"/>
        <w:ind w:left="283"/>
      </w:pPr>
      <w:r>
        <w:rPr>
          <w:rFonts w:ascii="Calibri" w:hAnsi="Calibri"/>
          <w:b/>
          <w:color w:val="4A6B25"/>
          <w:sz w:val="20"/>
        </w:rPr>
        <w:t xml:space="preserve">3. </w:t>
      </w:r>
      <w:r>
        <w:rPr>
          <w:rFonts w:ascii="Calibri" w:hAnsi="Calibri"/>
          <w:b w:val="0"/>
          <w:color w:val="3A4A28"/>
          <w:sz w:val="20"/>
        </w:rPr>
        <w:t>Cyclical consumer demand — mattress purchases are highly correlated with housing activity and consumer confidence; a recession or housing downturn could pressure both Mattress Firm retail traffic and premium Tempur-Pedic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Somnigroup manufactures physical mattresses, operates 2,300+ retail stores, and manages a complex supply chain for bedding products — AI cannot replace the physical product, in-store sleep trial experience, or manufacturing infrastructure [1]. The bedding industry is fundamentally physical with zero substitution risk from AI tools. Brand loyalty in premium mattresses (Tempur-Pedic commands $3,000+ price points) is built on material science and comfort, not digitizable services. AI Opportunity (1/1): The company generates meaningful AI-adjacent revenue through its Fullpower-AI partnership — 300,000+ smartbeds deployed with AI-powered Sleeptracker technology at a 30% price premium over traditional bases, with exclusive global rights secured through 2036 via a $25M equity investment [2]. This positions AI as a revenue enhancer rather than a defensive measure.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Somnigroup International Q4 and Full Year 2025 Earnings Release — $7.48B revenue, 54.7% growth, mid-single-digit organic growth guidance, $100M+ synergy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Somnigroup press releases — Fullpower-AI $25M equity investment and 10-year exclusive licensing agreement; CEO Scott Thompson leadership profile; Glassdoor cultural reviews</w:t>
      </w:r>
    </w:p>
    <w:p>
      <w:pPr>
        <w:spacing w:before="20" w:after="20"/>
        <w:ind w:left="170"/>
      </w:pPr>
      <w:r>
        <w:rPr>
          <w:rFonts w:ascii="Calibri" w:hAnsi="Calibri"/>
          <w:b/>
          <w:color w:val="4A6B25"/>
          <w:sz w:val="15"/>
        </w:rPr>
        <w:t xml:space="preserve">3. </w:t>
      </w:r>
      <w:r>
        <w:rPr>
          <w:rFonts w:ascii="Calibri" w:hAnsi="Calibri"/>
          <w:b w:val="0"/>
          <w:color w:val="3A4A28"/>
          <w:sz w:val="17"/>
        </w:rPr>
        <w:t>Tempur Sealy 2024 Corporate Social Values Report — zero waste to landfill, carbon neutrality 2040 goal; FTC Sleep Outfitters divestiture requirement for Mattress Firm approval</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SGI (Somnigroup International),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