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SGRY</w:t>
      </w:r>
      <w:r>
        <w:rPr>
          <w:rFonts w:ascii="Calibri" w:hAnsi="Calibri"/>
          <w:b/>
          <w:color w:val="1A2010"/>
          <w:sz w:val="40"/>
        </w:rPr>
        <w:t xml:space="preserve">  Surgery Partners, Inc.</w:t>
      </w:r>
    </w:p>
    <w:p>
      <w:pPr>
        <w:spacing w:after="120"/>
      </w:pPr>
      <w:r>
        <w:rPr>
          <w:rFonts w:ascii="Calibri" w:hAnsi="Calibri"/>
          <w:b/>
          <w:color w:val="6E8450"/>
          <w:sz w:val="18"/>
        </w:rPr>
        <w:t>GROWTH SLEEVE · 2026-04-23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Surgery Partners owns and operates a network of more than 200 surgical facilities across 30 states, including ambulatory surgery centers, surgical hospitals, multi-specialty physician practices, and urgent care facilities. The company provides non-emergency surgical procedures in orthopedics, ophthalmology, gastroenterology, and general surgery. Founded in 2004 and headquartered in Brentwood, Tennessee.</w:t>
      </w:r>
    </w:p>
    <w:p>
      <w:r>
        <w:rPr>
          <w:rFonts w:ascii="Calibri" w:hAnsi="Calibri"/>
          <w:b/>
          <w:color w:val="6E8450"/>
          <w:sz w:val="18"/>
        </w:rPr>
        <w:t>16,000 Employees · https://www.surgerypartners.com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Surgery Partners has grown from a mid-sized operator to one of the largest ambulatory surgery businesses in the U.S., with revenue compounding at 13.1% CAGR from 2017-2024 and reaching a record $3.1B in FY2025 [1]. The company has executed a successful roll-up strategy, expanding from ~100 to 200+ locations. AI Deployment (0/2): No evidence of AI-powered products or quantified AI-driven cost savings; the company's CIO received an ORBIE award for technology leadership, but no specific AI initiatives have been announced [3]. Market Share (2/2): Surgery Partners is one of the largest and fastest-growing surgical services businesses in the country, operating 200+ locations in 30 states with meaningful scale advantages in physician recruitment, payer negotiations, and operational efficiency [1][2]. Pipeline (0/2): No specific next-generation products or service launches with defined timelines; growth is primarily acquisition-driven rather than product-pipeline driven [1]. R&amp;D Intensity (1/1): For a healthcare services company, Surgery Partners invests appropriately in operational technology, revenue cycle management, and facility expansion relative to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Surgery Partners' purpose — 'improving the health of communities we serve' — is clear but not distinctive for a healthcare services company. It identifies the who and what but lacks deeper articulation of why the ambulatory surgery model specifically advances a larger vision [2]. Community Impact (1/2): The company operates healthcare facilities in 30 states serving local communities with surgical services, providing access to outpatient procedures that reduce costs versus hospital settings. No specific charitable programs or community investment dollar amounts identified [2]. Employee Retention (1/2): CEO Eric Evans has led since January 2020 with a deep executive bench drawn from Tenet Healthcare and Stryker, suggesting stable senior leadership [3]. Dawn Castro brought 30+ years of revenue cycle experience, indicating the company attracts long-tenured healthcare professionals. Insider Buying (0/2): No evidence of meaningful net insider buying; the company announced a share repurchase program in March 2026 alongside FY2025 results, but this is corporate buyback,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Surgery Partners delivered record revenue of $3.1B in FY2025 with $508.2M adjusted EBITDA, and guided 2026 revenue of $3.35-3.45B ($530M+ adjusted EBITDA), demonstrating consistent operational execution [1]. However, the financial profile shows significant leverage: D/E of 114.5% with $4.04B total debt against $240M cash, reflecting the capital-intensive acquisition strategy [5]. ROE of 2.76% is well below target, and profit margin of -2.35% remains negative due to interest expense on the large debt load [5]. Revenue growth of 2.4% YoY (reported) understates the trajectory — same-facility revenue grew 4.9% and 5yr CAGR is ~13.1% [1]. Forward P/E of 37.9x is elevated for a healthcare services company transitioning to profitability. Operating cash flow of $274M provides adequate coverage. Liquidity floor cleared: 1.58M avg vol × $14.73 = $23.2M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Surgery Partners demonstrates mixed infinite game characteristics. The long-term secular tailwind of the shift from inpatient to outpatient surgery provides a structural runway, and the company's acquisition-driven growth strategy builds enduring scale. However, the heavy reliance on financial engineering (leveraged acquisitions, $4B debt load) and quarterly guidance cadence suggest significant finite-game pressures. CEO Eric Evans brings operational discipline from Tenet Healthcare but the growth-through-acquisition model prioritizes scale over organic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Surgery Partners' purpose — expanding access to lower-cost, high-quality outpatient surgical care — has genuine social value as a structural shift away from expensive hospital settings benefits patients and the healthcare system [1][2]. However, the cause is partially eclipsed by the private equity-influenced, acquisition-driven business model where growth and scale appear to be ends in themselves rather than means to a higher purpose. The mission has not been tested through multi-decade consistency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Eric Evans has provided stable leadership since 2020 with an experienced executive team drawn from major healthcare organizations (Tenet Healthcare, Stryker), suggesting organizational stability [3]. The company employs 16,000 people across 200+ facilities, and leadership transitions have been orderly. However, the roll-up acquisition model inherently creates integration challenges and cultural fragmentation across dozens of acquired practices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Surgery Partners reaffirmed its long-term strategy despite volume dips and changing payer mix, framing competitive challenges as opportunities to improve operational execution rather than threats to defeat [4]. The company competes alongside Envision Healthcare, AmSurg (now AMSURG/Envision), and independent ASCs, and its growth strategy focuses on improving its own capabilities through acquisition and operational optimization rather than attacking rivals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Surgery Partners has evolved from a smaller surgical facility operator to a diversified healthcare services platform including ASCs, surgical hospitals, physician practices, and urgent care facilities [2]. The company has shown willingness to adjust its payer mix and facility types as the market shifts. However, these are incremental extensions of the core ambulatory surgery model rather than transformative pivots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strong evidence of courageous long-term decisions that sacrificed near-term results. The acquisition-driven model with $4B in debt represents growth through financial engineering rather than investing in organic capability building [5]. The company announced a share repurchase program alongside guidance, a finite-game signal prioritizing short-term shareholder returns over long-term investment. Growth has been steady but unremarkable in terms of courageous leadership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Surgery Partners is one of the largest ambulatory surgery center operators in the U.S. with 200+ facilities across 30 states, delivering record FY2025 revenue of $3.1B (6.2% growth) and $508.2M adjusted EBITDA [1]. The company benefits from a powerful secular tailwind — the ongoing shift from inpatient to outpatient surgery driven by cost pressures, payer preferences, and advancing surgical technology. 2026 guidance of $3.35-3.45B revenue and $530M+ adjusted EBITDA (excluding M&amp;A) implies continued mid-single-digit organic growth with margin expansion [1]. Same-facility revenue grew 4.9% in FY2025, demonstrating organic pricing power alongside acquisition-driven scale [1]. The $274M operating cash flow provides adequate debt service and selective acquisition capacity.</w:t>
      </w:r>
    </w:p>
    <w:p>
      <w:pPr>
        <w:spacing w:after="120"/>
      </w:pPr>
      <w:r>
        <w:rPr>
          <w:rFonts w:ascii="Calibri" w:hAnsi="Calibri"/>
          <w:b w:val="0"/>
          <w:color w:val="3A4A28"/>
          <w:sz w:val="20"/>
        </w:rPr>
        <w:t>The bear case centers on leverage and valuation. Surgery Partners carries $4.04B in total debt against $240M cash, resulting in a D/E ratio of 114.5% — interest expense is a primary driver of the -2.35% net profit margin despite strong operating performance [5]. ROE of just 2.76% reflects the equity dilution from the leveraged acquisition model. At 37.9x forward P/E ($0.39 forward EPS on a $14.73 stock), the valuation requires significant earnings acceleration to justify. The company reported only 2.4% total revenue growth YoY in the most recent period, below the historical 13.1% CAGR, as volume dips and changing payer mix pressure margins [1][4]. Rising interest rates amplify the cost of the $4B debt load, and any economic downturn could reduce elective surgical volumes — the core revenue driver. The roll-up strategy risks integration fatigue as the company approaches 200+ locations across 30 states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shift from inpatient to ambulatory surgery settings, driven by payer cost pressures and CMS policy supporting outpatient procedures, expanding Surgery Partners'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through operational efficiency initiatives and favorable payer mix evolution, targeting $530M+ adjusted EBITDA in 2026 versus $508M in 2025 [1]</w:t>
      </w:r>
    </w:p>
    <w:p>
      <w:pPr>
        <w:spacing w:before="40" w:after="40"/>
        <w:ind w:left="283"/>
      </w:pPr>
      <w:r>
        <w:rPr>
          <w:rFonts w:ascii="Calibri" w:hAnsi="Calibri"/>
          <w:b/>
          <w:color w:val="4A6B25"/>
          <w:sz w:val="20"/>
        </w:rPr>
        <w:t xml:space="preserve">3. </w:t>
      </w:r>
      <w:r>
        <w:rPr>
          <w:rFonts w:ascii="Calibri" w:hAnsi="Calibri"/>
          <w:b w:val="0"/>
          <w:color w:val="3A4A28"/>
          <w:sz w:val="20"/>
        </w:rPr>
        <w:t>Strategic M&amp;A opportunities in the fragmented ASC market, where Surgery Partners' scale provides integration advantages and physician recruitment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 $4.04B total debt with -2.35% profit margin means any revenue slowdown or interest rate increase could strain cash flow and delay the path to GAAP profitability [5]</w:t>
      </w:r>
    </w:p>
    <w:p>
      <w:pPr>
        <w:spacing w:before="40" w:after="40"/>
        <w:ind w:left="283"/>
      </w:pPr>
      <w:r>
        <w:rPr>
          <w:rFonts w:ascii="Calibri" w:hAnsi="Calibri"/>
          <w:b/>
          <w:color w:val="4A6B25"/>
          <w:sz w:val="20"/>
        </w:rPr>
        <w:t xml:space="preserve">2. </w:t>
      </w:r>
      <w:r>
        <w:rPr>
          <w:rFonts w:ascii="Calibri" w:hAnsi="Calibri"/>
          <w:b w:val="0"/>
          <w:color w:val="3A4A28"/>
          <w:sz w:val="20"/>
        </w:rPr>
        <w:t>Volume sensitivity to economic conditions — elective surgical procedures are deferrable, and any recession could reduce case volumes below the 2.0% growth achieved in FY2025 [1]</w:t>
      </w:r>
    </w:p>
    <w:p>
      <w:pPr>
        <w:spacing w:before="40" w:after="40"/>
        <w:ind w:left="283"/>
      </w:pPr>
      <w:r>
        <w:rPr>
          <w:rFonts w:ascii="Calibri" w:hAnsi="Calibri"/>
          <w:b/>
          <w:color w:val="4A6B25"/>
          <w:sz w:val="20"/>
        </w:rPr>
        <w:t xml:space="preserve">3. </w:t>
      </w:r>
      <w:r>
        <w:rPr>
          <w:rFonts w:ascii="Calibri" w:hAnsi="Calibri"/>
          <w:b w:val="0"/>
          <w:color w:val="3A4A28"/>
          <w:sz w:val="20"/>
        </w:rPr>
        <w:t>Payer mix deterioration — shifting from commercial to government payers compresses reimbursement rates, and Medicaid expansion uncertainty creates revenue per case risk across the 200+ facility network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Ambulatory surgery is fundamentally a physical-world, human-intensive business — surgical procedures require licensed surgeons, operating rooms, sterile environments, and hands-on patient care that AI structurally cannot replace [2]. The regulatory framework (state licensure, CMS certification, accreditation) creates additional barriers AI cannot bypass. AI may eventually assist in surgical planning, robotic-assisted procedures, and administrative automation, but these are complements rather than substitutes for Surgery Partners' core business [3]. The shift from inpatient to outpatient surgery is a secular tailwind that AI adoption accelerates (AI-driven efficiency → more procedures move to lower-cost ambulatory settings). AI Opportunity (0/1): No evidence of AI-generated revenue; the company's technology investments focus on operational efficiency and revenue cycle management rather than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Surgery Partners FY2025 Results and 2026 Guidance — Record $3.1B revenue, $508.2M adjusted EBITDA, GlobeNewsWire,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Surgery Partners Corporate Website — About Us, 200+ locations in 30 states,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Surgery Partners Leadership — CEO Eric Evans, CIO Varun Gadhok ORBIE Award, Executive Transitions, IR website</w:t>
      </w:r>
    </w:p>
    <w:p>
      <w:pPr>
        <w:spacing w:before="20" w:after="20"/>
        <w:ind w:left="170"/>
      </w:pPr>
      <w:r>
        <w:rPr>
          <w:rFonts w:ascii="Calibri" w:hAnsi="Calibri"/>
          <w:b/>
          <w:color w:val="4A6B25"/>
          <w:sz w:val="15"/>
        </w:rPr>
        <w:t xml:space="preserve">4. </w:t>
      </w:r>
      <w:r>
        <w:rPr>
          <w:rFonts w:ascii="Calibri" w:hAnsi="Calibri"/>
          <w:b w:val="0"/>
          <w:color w:val="3A4A28"/>
          <w:sz w:val="17"/>
        </w:rPr>
        <w:t>ASC News — Surgery Partners Reaffirms Long-Term Strategy Despite Volume Dips, Changing Payer Mix, November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SGRY (Surgery Partners),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