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w:t>
      </w:r>
      <w:r>
        <w:rPr>
          <w:rFonts w:ascii="Calibri" w:hAnsi="Calibri"/>
          <w:b/>
          <w:color w:val="1A2010"/>
          <w:sz w:val="40"/>
        </w:rPr>
        <w:t xml:space="preserve">  Sweetgreen, Inc.</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Sweetgreen operates fast-casual restaurants serving salads, warm bowls, and plates made from scratch using real, whole ingredients. The company operates approximately 230 locations across the United States with online/mobile ordering platforms and has developed robotic automation technology (Infinite Kitchen) for food preparation.</w:t>
      </w:r>
    </w:p>
    <w:p>
      <w:r>
        <w:rPr>
          <w:rFonts w:ascii="Calibri" w:hAnsi="Calibri"/>
          <w:b/>
          <w:color w:val="6E8450"/>
          <w:sz w:val="18"/>
        </w:rPr>
        <w:t>6,486 Employees · https://www.sweetgreen.com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Sweetgreen developed the Infinite Kitchen robotic automation system, achieving 28% restaurant-level margins at pilot locations versus 18% company-wide average, and generating 500 bowls/hour with near-100% accuracy [2]. However, the company reversed course and sold the underlying Spyce technology to Wonder for $186.4M, signaling strategic uncertainty. AI Deployment (1/2): AI-powered workforce management system for forecasting, scheduling, and efficiency is deployed across locations; proprietary apps guide prep decisions to minimize waste [2]. Market Share (1/2): Sweetgreen is a recognized leader in fast-casual healthy dining but commands limited overall market share in a fragmented industry. The brand has differentiation but not dominance. Pipeline (1/2): Sweet Growth Transformation Plan includes wraps pilot expansion, Nashville and Salt Lake City entry, and 15 net new restaurants in FY2026, but specific revenue impact is uncertain [1]. R&amp;D Intensity (0/1): R&amp;D spending is modest relative to peers; the Spyce sale removed the primary technology investment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Sweetgreen's mission to 'build healthier communities by connecting people to real food' is specific and well-articulated. CEO Neman's concept of 'intimacy at scale' and emphasis on balancing 'art and technology' demonstrates genuine intentionality [2]. The mission clearly differentiates from QSR peers. Community Impact (1/2): Sweetgreen sources from local farms and promotes sustainable agriculture, employs 6,486 people, and promotes internal talent development — over half of restaurant leadership roles filled internally in 2024 [2]. Employee Retention (1/2): CEO Neman emphasizes career pathing ('head coach in three years') and internal promotion, but the restaurant industry inherently has high turnover. The FY2025 performance challenges (comp sales -7.9%) likely pressure team morale [2]. Insider Buying (1/2): Limited public data on recent insider transactions; Neman maintains equity exposure through founder shares but no evidence of significant recent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Sweetgreen's financial profile is deeply distressed. FY2025 revenue of $679.5M declined 3.5% with comparable sales down 7.9% (traffic -13.3% in Q4), and restaurant-level margin deteriorated to 10.4% in Q4 [1]. Net loss widened to $49.7M in Q4 with adjusted EBITDA loss of $13.3M. Profit margin of -19.7%, ROE of -33.4%, and negative forward P/E reflect structural unprofitability. D/E of 99.5% is manageable but cash of only $89.2M limits runway [1]. FY2026 guidance of -4% to -2% same-store sales and adjusted EBITDA of just $1-6M shows minimal improvement ahead. Stock down 22.3% since Q4 report. Liquidity floor cleared: 4.3M avg vol × $5.39 = $23.2M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Sweetgreen under CEO Neman has a genuine mission connecting people to real food, but the company's strategic inconsistency — building then selling Infinite Kitchen technology, guiding for continued same-store sales declines, and launching a 'transformation plan' that reads as crisis management — undermines infinite game credibility. The mission is real, but execution is finite-game reactive.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Sweetgreen's cause — building healthier communities by connecting people to real food — is genuine and distinctive, validated by 18 years of consistent focus on scratch-made food from whole ingredients [2]. CEO Neman's articulation of 'intimacy at scale' shows strategic depth. However, the cause hasn't been tested through a true existential crisis, and selling the Spyce technology that was central to the scaling thesis raises questions about commitment to the original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Neman emphasizes internal promotion (50%+ of leadership roles filled internally) and career development ('head coach in three years'), suggesting investment in team trust [2]. AI workforce management provides transparency in scheduling. However, the restaurant industry's inherently high turnover and the company's financial distress (comp sales -7.9%) likely strain team stability and morale.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Sweetgreen's competitive framing focuses on being different from traditional QSR rather than learning from specific rivals. The company does not publicly acknowledge what competitors like Chipotle, CAVA, or Shake Shack do better. The lack of competitive humility is notable given Sweetgreen's deteriorating performance relative to peers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Sweetgreen's strategic pivot on Infinite Kitchen — building it as the future of the company, then reversing course and selling Spyce to Wonder — signals reactivity rather than purposeful flexibility [2]. The 'Sweet Growth Transformation Plan' with wraps pilot, new markets, and 'Project One Best Way' reads as crisis management rather than mission-driven evolution. The company has not successfully reinvented itself in response to changing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Founding a healthy fast-casual chain and maintaining the scratch-cooking model at scale requires conviction against the economics of processed food [2]. However, selling the Infinite Kitchen technology after years of promoting it as transformative, and guiding for continued negative comps, suggests management is choosing financial pragmatism over long-term capability building. The $186.4M Spyce sale looks more like balance sheet relief than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Sweetgreen is a mission-driven healthy fast-casual brand with 230+ locations and a genuine food quality differentiation, but the company is in financial distress with FY2025 revenue declining 3.5% to $679.5M, comparable sales down 7.9%, and Q4 traffic plunging 13.3% [1]. The Sweet Growth Transformation Plan targets wraps expansion, new market entry (Nashville, Salt Lake City), and operational improvements, but FY2026 guidance of -4% to -2% same-store sales and adjusted EBITDA of just $1-6M offers minimal near-term recovery. The Spyce/Infinite Kitchen technology sale to Wonder for $186.4M provides cash ($89.2M ending balance) and ongoing access to automation, with pilot locations achieving 28% margins versus 18% company-wide [2].</w:t>
      </w:r>
    </w:p>
    <w:p>
      <w:pPr>
        <w:spacing w:after="120"/>
      </w:pPr>
      <w:r>
        <w:rPr>
          <w:rFonts w:ascii="Calibri" w:hAnsi="Calibri"/>
          <w:b w:val="0"/>
          <w:color w:val="3A4A28"/>
          <w:sz w:val="20"/>
        </w:rPr>
        <w:t>The bear case dominates. Traffic declines of 13.3% in Q4 suggest consumer demand erosion that menu innovation (wraps) may not reverse. GAAP net loss of $49.7M in Q4 and -19.7% profit margin with a $640M market cap create dilution risk if cash runs low. The stock has fallen 22.3% since Q4 earnings and trades at $5.39 — down ~90% from its 2021 IPO peak of ~$56 [3]. D/E of 99.5% is manageable but leaves limited financial flexibility. Competition from CAVA (which has accelerating comps), Chipotle, and health-focused QSR peers intensifies as Sweetgreen loses traffic. The company delivered the weakest performance against analyst estimates in the modern fast-food category [1]. Without a meaningful comp reversal in 2026, the path to profitability extends further and dilution risk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Wraps menu expansion — pilot results across Los Angeles, Manhattan, and Midwest markets could drive incremental traffic and average check if consumer response is strong [1]</w:t>
      </w:r>
    </w:p>
    <w:p>
      <w:pPr>
        <w:spacing w:before="40" w:after="40"/>
        <w:ind w:left="283"/>
      </w:pPr>
      <w:r>
        <w:rPr>
          <w:rFonts w:ascii="Calibri" w:hAnsi="Calibri"/>
          <w:b/>
          <w:color w:val="4A6B25"/>
          <w:sz w:val="20"/>
        </w:rPr>
        <w:t xml:space="preserve">2. </w:t>
      </w:r>
      <w:r>
        <w:rPr>
          <w:rFonts w:ascii="Calibri" w:hAnsi="Calibri"/>
          <w:b w:val="0"/>
          <w:color w:val="3A4A28"/>
          <w:sz w:val="20"/>
        </w:rPr>
        <w:t>Infinite Kitchen margin advantage — continued deployment of robotic automation at 28% restaurant-level margins vs 18% company average could meaningfully improve unit economics [2]</w:t>
      </w:r>
    </w:p>
    <w:p>
      <w:pPr>
        <w:spacing w:before="40" w:after="40"/>
        <w:ind w:left="283"/>
      </w:pPr>
      <w:r>
        <w:rPr>
          <w:rFonts w:ascii="Calibri" w:hAnsi="Calibri"/>
          <w:b/>
          <w:color w:val="4A6B25"/>
          <w:sz w:val="20"/>
        </w:rPr>
        <w:t xml:space="preserve">3. </w:t>
      </w:r>
      <w:r>
        <w:rPr>
          <w:rFonts w:ascii="Calibri" w:hAnsi="Calibri"/>
          <w:b w:val="0"/>
          <w:color w:val="3A4A28"/>
          <w:sz w:val="20"/>
        </w:rPr>
        <w:t>Sweet Growth Transformation Plan — 'Project One Best Way' throughput improvements and operational discipline could stabilize same-store sales declines toward positive territory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traffic decline — Q4 traffic down 13.3% with FY2026 guidance of -4% to -2% comps suggests structural consumer demand erosion, not a temporary dip [1]</w:t>
      </w:r>
    </w:p>
    <w:p>
      <w:pPr>
        <w:spacing w:before="40" w:after="40"/>
        <w:ind w:left="283"/>
      </w:pPr>
      <w:r>
        <w:rPr>
          <w:rFonts w:ascii="Calibri" w:hAnsi="Calibri"/>
          <w:b/>
          <w:color w:val="4A6B25"/>
          <w:sz w:val="20"/>
        </w:rPr>
        <w:t xml:space="preserve">2. </w:t>
      </w:r>
      <w:r>
        <w:rPr>
          <w:rFonts w:ascii="Calibri" w:hAnsi="Calibri"/>
          <w:b w:val="0"/>
          <w:color w:val="3A4A28"/>
          <w:sz w:val="20"/>
        </w:rPr>
        <w:t>Cash runway concern — $89.2M cash with ongoing losses and only $1-6M guided adjusted EBITDA creates potential dilution risk within 12-18 months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 CAVA, Chipotle, and health-focused QSR chains are gaining share while Sweetgreen loses traffic, raising questions about brand relevance and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Restaurant operations are largely immune to AI substitution — customers need physical food prepared and served. However, Sweetgreen's ordering platform and digital-first model face moderate pressure as AI-powered food delivery aggregators and meal planning tools could redirect customer traffic [2]. The Infinite Kitchen robotics (now sold to Wonder but still licensed) demonstrates how automation enhances rather than threatens the business model. AI Opportunity (1/1): Sweetgreen actively generates operational value from AI — workforce management, demand forecasting, prep optimization apps, and the Infinite Kitchen automation (28% margins vs 18% company average at pilot locations) represent tangible AI-driven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Sweetgreen Q4 FY2025 Earnings Release — $679.5M revenue, -7.9% comps, -13.3% Q4 traffic,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Sweetgreen CEO Jonathan Neman — Infinite Kitchen strategy, AI workforce management, Spyce sale to Wonder, culture commentary,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SG (Sweetgreen), accessed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