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SHC</w:t>
      </w:r>
      <w:r>
        <w:rPr>
          <w:rFonts w:ascii="Calibri" w:hAnsi="Calibri"/>
          <w:b/>
          <w:color w:val="1A2010"/>
          <w:sz w:val="40"/>
        </w:rPr>
        <w:t xml:space="preserve">  Sotera Health Company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2026-04-14 · Inspire: 37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Diagnostics &amp; Research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Sotera Health Company is a global provider of mission-critical sterilization, lab testing, and advisory services to the medical device, pharmaceutical, and food safety industries, operating Sterigenics (sterilization), Nelson Labs (lab testing), and Nordion (Cobalt-60).</w:t>
      </w:r>
    </w:p>
    <w:p>
      <w:r>
        <w:rPr>
          <w:rFonts w:ascii="Calibri" w:hAnsi="Calibri"/>
          <w:b/>
          <w:color w:val="6E8450"/>
          <w:sz w:val="18"/>
        </w:rPr>
        <w:t>3,100 Employees · https://www.soterahealth.com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Sterilization is a mature, highly regulated industry where innovation is incremental. Item 1: 1 point — modest product refreshes including capacity expansions and new X-ray sterilization facilities, but no transformative pivot; core business has looked similar for decades. Item 2: 1 point — SHC has deployed AI/ML tools internally for scheduling and capacity optimization, no shipped external AI products. Item 3: 2 points — Sterigenics holds leading share in contract gamma and EtO sterilization globally, and Nordion is the largest producer of Cobalt-60 [1]. Item 4: 1 point — pipeline visibility includes ongoing X-ray technology rollout and capacity additions with timelines but vague revenue milestones. Item 5: 0 points — R&amp;D intensity is low vs. tools peers (sterilization is a services business).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floor: 2 points — 'Safeguarding Global Health' is clear and mission-oriented (sterilization touches 15B+ healthcare products annually per company disclosure), but reads slightly generic. Community impact: 1 point — standard corporate giving and STEM programs. Employee retention: 1 point — stable workforce at ~3,100 with industry-average tenure; no standout data. Insider buying: 1 point — CEO Michael Petras sold 434,104 shares in early 2026 [1] (net selling), while Vanguard accumulated 1.56M shares — signal is modestly negative on the CEO side but offset by institutional accumulation.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Infrastructure calculated mechanically. D/E is very high at 375.6% (above 300% floor, score 0.0) — reflects leveraged recap from private equity lineage. Mitigating: net leverage improved to 3.2x from 3.7x [1]. ROE 15.4% (score 1.0). Revenue YoY 4.6% (score 0.82), 5yr CAGR ~8% (20 consecutive years of revenue growth [1], score 0.87). Forward P/E 15.0 (score 1.0). Profit margin 6.7% (score 0.33) — but adjusted EBITDA margin 51% is best-in-class [1]. Forward PEG estimated ~2.0 on mid-single-digit growth (score 0.5). Weighted score computes to 7/10 despite D/E penalty because ROE, FPE, and revenue metrics are strong. Liquidity: 2.52M vol x $15.70 = $40M daily, above $1M floor. 20th consecutive year of revenue growth is notable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Sotera has a genuine mission around safeguarding global health, a durable 20-year revenue growth streak, and near-irreplaceable physical infrastructure, but a highly leveraged balance sheet and private-equity lineage suggest some finite-game capital-structure optimization in its DNA.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Cause: 2 weighted points — 'Safeguarding Global Health' is a genuine cause (SHC products sterilize a significant share of global medical devices); has shaped 20 years of consistent reinvestment in capacity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Teams: 1 weighted point — CEO Michael Petras has led since 2016 (a decade of continuity), and the operator-run culture is stable; no red flags.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Rivals: 0 weighted points — SHC often frames itself as essentially the only end-to-end global sterilization platform, with competitive commentary focused on scale advantages rather than learning from rivals like STERIS.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Flexibility: 1 weighted point — transition from gamma-only toward multi-modality (gamma + EtO + X-ray + e-beam) shows meaningful strategic flexibility in response to the EtO regulatory pressure.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Lead: 1 weighted point — management invested in X-ray technology and capacity expansion through the Illinois EtO litigation overhang, accepting near-term earnings volatility to secure long-term capability.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Sotera Health is an AI-immune, regulation-moated sterilization oligopolist that delivered its 20th consecutive year of revenue growth in 2025 ($1.164B, +5.7% YoY) with best-in-class 51% adjusted EBITDA margins [1]. 2026 guidance calls for 5-6.5% constant-currency revenue growth and $632-641M adjusted EBITDA [1]. Net leverage improved to 3.2x, CEO Michael Petras has led since 2016, and the Sterigenics/Nelson Labs/Nordion trio provides 15B+ products sterilized annually with mission-critical customer dependency. Faith alignment is positive (+37).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leverage and litigation. D/E of 376% (net leverage 3.2x) means SHC has limited cushion if EBITDA contracts. Illinois and Georgia EtO litigation — while largely resolved — remains a periodic overhang, and regulatory trends continue to pressure EtO modality usage [1]. ROE of 15.4% is healthy but flattered by the leveraged equity base. Forward PEG ~2.0 is full on mid-single-digit growth and CEO Petras was a net seller in early 2026 (434K shares)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deleveraging toward sub-3.0x net debt/EBITDA releasing capital for buybacks or M&amp;A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X-ray sterilization capacity ramp capturing EtO-displaced volumes at higher margins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20th consecutive year of revenue growth streak extending into 2026 at mid-single digits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EtO regulatory tightening further (EPA, state-level) reducing Sterigenics throughput and margin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Resurgence of tort litigation (Illinois, Georgia, New Mexico) reopening settlement exposure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High D/E (376%) limits flexibility if EBITDA falls — interest coverage sensitive to rates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Sterilization is one of the most AI-immune businesses in healthcare. Sterigenics operates physical gamma irradiators, X-ray and electron beam facilities that sterilize medical devices, pharmaceuticals, and consumer products — processes that are physical, highly regulated by FDA and ISO, and cannot be substituted by software or AI agents. Nelson Labs performs physical lab testing under GLP/GMP regulations. Nordion produces Cobalt-60 from nuclear reactors. No analyst has flagged AI as a disruption risk to SHC's business model. If anything, AI-driven pharmaceutical discovery increases the medical device and drug pipeline needing sterilization. AI Risk Protection: 9 points (IMMUNE — physical infrastructure, heavy regulation, zero substitution). AI Opportunity: 0 points — no AI revenue disclosed.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Sotera Health Q4 2025 Earnings Release and 2026 Outlook, February 2026 (GlobeNewswire)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Ticker Report — Sotera Health Q4 earnings and CEO Petras insider sales, February-March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— SHC key statistics,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