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SHEL</w:t>
      </w:r>
      <w:r>
        <w:rPr>
          <w:rFonts w:ascii="Calibri" w:hAnsi="Calibri"/>
          <w:b/>
          <w:color w:val="1A2010"/>
          <w:sz w:val="40"/>
        </w:rPr>
        <w:t xml:space="preserve">  Shell plc</w:t>
      </w:r>
    </w:p>
    <w:p>
      <w:pPr>
        <w:spacing w:after="120"/>
      </w:pPr>
      <w:r>
        <w:rPr>
          <w:rFonts w:ascii="Calibri" w:hAnsi="Calibri"/>
          <w:b/>
          <w:color w:val="6E8450"/>
          <w:sz w:val="18"/>
        </w:rPr>
        <w:t>DIVIDEND SLEEVE · 2026-03-30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NYSE · United Kingdom</w:t>
      </w:r>
    </w:p>
    <w:p>
      <w:pPr>
        <w:spacing w:after="80"/>
      </w:pPr>
      <w:r>
        <w:rPr>
          <w:rFonts w:ascii="Calibri" w:hAnsi="Calibri"/>
          <w:b w:val="0"/>
          <w:color w:val="3A4A28"/>
          <w:sz w:val="20"/>
        </w:rPr>
        <w:t>Shell plc is a global energy and petrochemical company operating through Integrated Gas, Upstream, Marketing, Chemicals and Products, and Renewables and Energy Solutions segments. Founded in 1897 and headquartered in London, Shell explores for and produces crude oil, natural gas, and LNG, operates refineries and chemical plants, and runs a global retail network including EV charging infrastructure.</w:t>
      </w:r>
    </w:p>
    <w:p>
      <w:r>
        <w:rPr>
          <w:rFonts w:ascii="Calibri" w:hAnsi="Calibri"/>
          <w:b/>
          <w:color w:val="6E8450"/>
          <w:sz w:val="18"/>
        </w:rPr>
        <w:t>84,000 Employees · https://www.shell.com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Shell generated $266.9B TTM revenue, though declining 3.3% YoY due to lower commodity prices, with $42.9B operating cash flow in FY2025 demonstrating continued cash generation strength [1]. AI Deployment (2/2): Shell has over 100 AI applications in development, partnered with C3.ai for predictive maintenance monitoring 10,000+ equipment pieces, and co-developed agentic AI with SLB for upstream operations [2]. Market Share (1/2): Shell remains one of the world's largest integrated energy companies with a $265B market cap, but faces share erosion as the energy transition accelerates and pure-play renewables competitors grow [1]. Pipeline (1/2): Shell DLC Fluid S3 for data center cooling and renewable power supply for Google data centers represent new AI-adjacent revenue streams, but core oil &amp; gas pipeline faces long-term secular decline [2]. R&amp;D Intensity (0/1): R&amp;D spending is modest relative to revenue for an energy major, focused more on operational optimization than breakthrough technology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Shell's stated purpose of providing cleaner energy solutions is undermined by continued heavy investment in fossil fuels — the gap between climate rhetoric and capital allocation has led to greenwashing accusations and a Dutch court order to cut emissions 45% by decade's end [3]. Community Impact (1/2): Shell employs 84,000 globally and supports significant economic activity in energy-dependent communities, but the Severe Sustainalytics ESG risk rating (controversy level 4 of 5) reflects material environmental and social harm [3]. Employee Retention (1/2): Glassdoor rating of 3.9/5 with 74% recommending the company; employees praise culture and compensation but criticize bureaucracy, frequent reorganizations, and limited promotion pathways [2]. Insider Buying (1/2): CEO Wael Sawan's $18.5M compensation is 88.8% performance-based, aligning incentives, and the company returned substantial capital via buybacks and dividends [1][2].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Shell's financial profile is solid but unspectacular for an integrated major. Forward P/E of 11.9x is attractive, but profit margin of 6.7% is thin for a company of this scale, reflecting commodity price compression [1]. ROE of 10.2% is below the 15% threshold for excellence, and D/E of 43.2% is conservative. Revenue declined 3.3% YoY to $266.9B, though operating cash flow of $42.9B and FCF of $22.7B remain strong [1]. Dividend yield of 3.23% with a 47.7% payout ratio provides income stability, though Shell infamously cut its dividend in 2020 for the first time since WWII, resetting the growth streak [1]. Liquidity floor easily cleared: 6.17M avg vol x $93.87 = $579M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Shell under CEO Wael Sawan has pivoted toward shareholder returns and fossil fuel discipline over the prior CEO's aggressive energy transition strategy. The company plays a mixed game — investing in AI and new energy while simultaneously scaling back renewable ambitions and prioritizing near-term cash returns over long-term decarbonization.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Shell's stated purpose of 'powering progress together with more and cleaner energy solutions' is aspirational but lacks conviction — the 2023 strategic pivot under Sawan scaled back renewable investment targets and refocused on oil &amp; gas profitability [3]. A Dutch court finding that Shell's climate strategy violates human rights obligations undermines the credibility of its just cause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3.9/5 rating and 74% recommendation rate suggest a generally positive work environment, but employees consistently cite 'constant reorganisations,' bureaucratic decision-making, and 'too many layoffs' as eroding trust [2]. Shell's 84,000-person workforce benefits from strong compensation and work-life balance but suffers from limited career mobility and slow change processes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Shell acknowledges competition from BP, TotalEnergies, and ExxonMobil in traditional energy, and from Orsted, NextEra, and Tesla in the energy transition. The pivot to AI-adjacent services (data center cooling, predictive maintenance commercialization) shows awareness that future rivals may be tech companies rather than energy peers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Shell has demonstrated some flexibility by developing AI capabilities, data center cooling products, and EV charging infrastructure, but the Sawan-era strategic retreat from aggressive decarbonization targets suggests the company is less willing to cannibalize its core fossil fuel business than rhetoric suggested [3]. The 2020 dividend cut showed willingness to make painful decisions when forced, but the subsequent reinstatement prioritized investor confidence over transformation investment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Sawan has shown courage in being transparent about the economic reality of energy transition (admitting some green investments don't meet return hurdles), but this pragmatism reads as retreat from climate leadership [3]. Shell faces ESG litigation from ClientEarth targeting directors personally, and over 30% of shareholders voted against the board at the 2021 AGM — leadership is caught between activist investors and climate advocates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Shell plc is a global energy major trading at an attractive 11.9x forward P/E with a 3.23% dividend yield, generating $42.9B in operating cash flow and $22.7B in FCF in FY2025 [1]. The company's AI strategy — over 100 deployed applications, data center cooling fluids, and renewable power supply for hyperscalers — positions Shell uniquely at the intersection of energy and AI infrastructure demand [2]. At $265B market cap, Shell offers value investors commodity exposure with growing AI-adjacent optionality, supported by aggressive capital returns via buybacks and dividends [1].</w:t>
      </w:r>
    </w:p>
    <w:p>
      <w:pPr>
        <w:spacing w:after="120"/>
      </w:pPr>
      <w:r>
        <w:rPr>
          <w:rFonts w:ascii="Calibri" w:hAnsi="Calibri"/>
          <w:b w:val="0"/>
          <w:color w:val="3A4A28"/>
          <w:sz w:val="20"/>
        </w:rPr>
        <w:t>The bear case centers on structural headwinds. Revenue declined 3.3% YoY to $266.9B on lower commodity prices, and profit margins of 6.7% leave little buffer in a downturn [1]. Shell faces an unprecedented legal and regulatory gauntlet — the Dutch court emissions reduction order, ClientEarth's director liability lawsuit, and Severe Sustainalytics controversy ratings create material litigation risk [3]. The 2023 strategic pivot away from aggressive renewable targets exposes Shell to stranded asset risk if the energy transition accelerates faster than management projects. ROE of 10.2% is below sector leaders like ExxonMobil, and the 2020 dividend cut (first since WWII) reminds investors that Shell's income stream is not sacrosanct in commodity downturns [1]. Bureaucratic culture and frequent reorganizations, as noted by employees, may slow the agility needed to capitalize on AI-adjacent opportunities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energy demand surge — Shell's data center cooling fluids and renewable power agreements with Google position it to monetize the exponential growth in AI compute infrastructure [2]</w:t>
      </w:r>
    </w:p>
    <w:p>
      <w:pPr>
        <w:spacing w:before="40" w:after="40"/>
        <w:ind w:left="283"/>
      </w:pPr>
      <w:r>
        <w:rPr>
          <w:rFonts w:ascii="Calibri" w:hAnsi="Calibri"/>
          <w:b/>
          <w:color w:val="4A6B25"/>
          <w:sz w:val="20"/>
        </w:rPr>
        <w:t xml:space="preserve">2. </w:t>
      </w:r>
      <w:r>
        <w:rPr>
          <w:rFonts w:ascii="Calibri" w:hAnsi="Calibri"/>
          <w:b w:val="0"/>
          <w:color w:val="3A4A28"/>
          <w:sz w:val="20"/>
        </w:rPr>
        <w:t>Aggressive shareholder returns — management has prioritized buybacks and dividend growth, with $42.9B operating cash flow providing substantial capital return capacity [1]</w:t>
      </w:r>
    </w:p>
    <w:p>
      <w:pPr>
        <w:spacing w:before="40" w:after="40"/>
        <w:ind w:left="283"/>
      </w:pPr>
      <w:r>
        <w:rPr>
          <w:rFonts w:ascii="Calibri" w:hAnsi="Calibri"/>
          <w:b/>
          <w:color w:val="4A6B25"/>
          <w:sz w:val="20"/>
        </w:rPr>
        <w:t xml:space="preserve">3. </w:t>
      </w:r>
      <w:r>
        <w:rPr>
          <w:rFonts w:ascii="Calibri" w:hAnsi="Calibri"/>
          <w:b w:val="0"/>
          <w:color w:val="3A4A28"/>
          <w:sz w:val="20"/>
        </w:rPr>
        <w:t>Forward P/E of 11.9x represents deep value if commodity prices stabilize or AI energy demand creates a structural demand floor for natural gas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ESG litigation cascade — Dutch court emissions order, ClientEarth director liability suit, and 30%+ shareholder dissent at AGM create compounding legal and governance risk [3]</w:t>
      </w:r>
    </w:p>
    <w:p>
      <w:pPr>
        <w:spacing w:before="40" w:after="40"/>
        <w:ind w:left="283"/>
      </w:pPr>
      <w:r>
        <w:rPr>
          <w:rFonts w:ascii="Calibri" w:hAnsi="Calibri"/>
          <w:b/>
          <w:color w:val="4A6B25"/>
          <w:sz w:val="20"/>
        </w:rPr>
        <w:t xml:space="preserve">2. </w:t>
      </w:r>
      <w:r>
        <w:rPr>
          <w:rFonts w:ascii="Calibri" w:hAnsi="Calibri"/>
          <w:b w:val="0"/>
          <w:color w:val="3A4A28"/>
          <w:sz w:val="20"/>
        </w:rPr>
        <w:t>Commodity price dependence — 3.3% revenue decline on modest price weakness shows Shell's earnings remain highly cyclical despite diversification efforts [1]</w:t>
      </w:r>
    </w:p>
    <w:p>
      <w:pPr>
        <w:spacing w:before="40" w:after="40"/>
        <w:ind w:left="283"/>
      </w:pPr>
      <w:r>
        <w:rPr>
          <w:rFonts w:ascii="Calibri" w:hAnsi="Calibri"/>
          <w:b/>
          <w:color w:val="4A6B25"/>
          <w:sz w:val="20"/>
        </w:rPr>
        <w:t xml:space="preserve">3. </w:t>
      </w:r>
      <w:r>
        <w:rPr>
          <w:rFonts w:ascii="Calibri" w:hAnsi="Calibri"/>
          <w:b w:val="0"/>
          <w:color w:val="3A4A28"/>
          <w:sz w:val="20"/>
        </w:rPr>
        <w:t>Energy transition stranded asset risk — scaling back renewable investment while peers accelerate could leave Shell with devalued fossil fuel assets if decarbonization timelines compress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Shell is a net beneficiary of AI through two vectors — operational efficiency (100+ AI applications reducing downtime and optimizing exploration) and the massive energy demand AI data centers create [2]. AI will not displace demand for oil, gas, or petrochemicals in the medium term, and Shell's data center cooling fluids and renewable energy partnerships with Google position it to profit from AI's energy footprint. The primary AI risk is reputational — AI-amplified activism and automated ESG analysis could accelerate divestment pressure [2]. AI Opportunity (1/1): Shell is commercializing AI adjacencies including immersion cooling fluid for data centers and partnering with SLB on agentic AI for upstream operations, creating new revenue streams beyond traditional energy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Shell Q4 FY2025 / Full Year 2025 Results — $266.9B revenue, $42.9B operating cash flow, Shell.com Quarterly Results, accessed March 2026</w:t>
      </w:r>
    </w:p>
    <w:p>
      <w:pPr>
        <w:spacing w:before="20" w:after="20"/>
        <w:ind w:left="170"/>
      </w:pPr>
      <w:r>
        <w:rPr>
          <w:rFonts w:ascii="Calibri" w:hAnsi="Calibri"/>
          <w:b/>
          <w:color w:val="4A6B25"/>
          <w:sz w:val="15"/>
        </w:rPr>
        <w:t xml:space="preserve">2. </w:t>
      </w:r>
      <w:r>
        <w:rPr>
          <w:rFonts w:ascii="Calibri" w:hAnsi="Calibri"/>
          <w:b w:val="0"/>
          <w:color w:val="3A4A28"/>
          <w:sz w:val="17"/>
        </w:rPr>
        <w:t>EnkiAI / Klover.ai — Shell AI Strategy Analysis: 100+ AI applications, C3.ai partnership, data center cooling initiatives, 2025-2026</w:t>
      </w:r>
    </w:p>
    <w:p>
      <w:pPr>
        <w:spacing w:before="20" w:after="20"/>
        <w:ind w:left="170"/>
      </w:pPr>
      <w:r>
        <w:rPr>
          <w:rFonts w:ascii="Calibri" w:hAnsi="Calibri"/>
          <w:b/>
          <w:color w:val="4A6B25"/>
          <w:sz w:val="15"/>
        </w:rPr>
        <w:t xml:space="preserve">3. </w:t>
      </w:r>
      <w:r>
        <w:rPr>
          <w:rFonts w:ascii="Calibri" w:hAnsi="Calibri"/>
          <w:b w:val="0"/>
          <w:color w:val="3A4A28"/>
          <w:sz w:val="17"/>
        </w:rPr>
        <w:t>Stewarts Law / Bloomberg Law / ClientEarth — Shell ESG litigation, Dutch court climate ruling, greenwashing challenges, 2021-2026</w:t>
      </w:r>
    </w:p>
    <w:p>
      <w:pPr>
        <w:spacing w:before="20" w:after="20"/>
        <w:ind w:left="170"/>
      </w:pPr>
      <w:r>
        <w:rPr>
          <w:rFonts w:ascii="Calibri" w:hAnsi="Calibri"/>
          <w:b/>
          <w:color w:val="4A6B25"/>
          <w:sz w:val="15"/>
        </w:rPr>
        <w:t xml:space="preserve">4. </w:t>
      </w:r>
      <w:r>
        <w:rPr>
          <w:rFonts w:ascii="Calibri" w:hAnsi="Calibri"/>
          <w:b w:val="0"/>
          <w:color w:val="3A4A28"/>
          <w:sz w:val="17"/>
        </w:rPr>
        <w:t>Glassdoor — Shell Reviews (13,511 reviews), 3.9/5 rating,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SHEL (Shell plc),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