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SHLS</w:t>
      </w:r>
      <w:r>
        <w:rPr>
          <w:rFonts w:ascii="Calibri" w:hAnsi="Calibri"/>
          <w:b/>
          <w:color w:val="1A2010"/>
          <w:sz w:val="40"/>
        </w:rPr>
        <w:t xml:space="preserve">  Shoals Technologies Group, Inc.</w:t>
      </w:r>
    </w:p>
    <w:p>
      <w:pPr>
        <w:spacing w:after="120"/>
      </w:pPr>
      <w:r>
        <w:rPr>
          <w:rFonts w:ascii="Calibri" w:hAnsi="Calibri"/>
          <w:b/>
          <w:color w:val="6E8450"/>
          <w:sz w:val="18"/>
        </w:rPr>
        <w:t>GROWTH SLEEVE · 2026-04-01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Shoals Technologies Group is the leading provider of American-made electrical balance of system (EBOS) solutions for solar, battery energy storage (BESS), and critical power infrastructure. The company designs, manufactures, and sells Big Lead Assembly (BLA) solutions, combiners, disconnects, and monitoring systems. Founded in 1996, Shoals has deployed its solutions on over 62 GW of solar systems globally.</w:t>
      </w:r>
    </w:p>
    <w:p>
      <w:r>
        <w:rPr>
          <w:rFonts w:ascii="Calibri" w:hAnsi="Calibri"/>
          <w:b/>
          <w:color w:val="6E8450"/>
          <w:sz w:val="18"/>
        </w:rPr>
        <w:t>1,480 Employees · https://www.shoals.com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Shoals pivoted from automotive components to solar EBOS in 2002, creating the BLA product category that eliminates trenching and reduces installation costs by 75% of wire runs and 18% of connections [2]. Revenue grew 19% in 2025 to $475M with a record $747.6M backlog [1]. BESS revenue surged to $67M in backlog (4x prior quarter), and international revenue grew from &lt;$1M to $13M [1]. AI Deployment (0/2): No AI-powered products or quantified AI savings; Shoals focuses on physical electrical infrastructure rather than software-driven solutions [2]. Market Share (2/2): Shoals is the recognized leader in U.S. utility-scale solar EBOS with solutions deployed on 62+ GW of solar systems globally, commanding a dominant position in the homerun architecture segment [2]. Pipeline (1/2): Data center BLA product on track for certification with material revenue expected in 2027; BESS backlog quadrupled; 2026 guidance of $560-$600M revenue (+22% growth at midpoint) provides clear near-term visibility [1]. R&amp;D Intensity (1/1): Active product development in BESS, data center power, and international markets with dedicated engineering resources, though specific R&amp;D spend percentages are not disclosed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Shoals' mission to 'enable global electrification with safe, efficient power infrastructure that connects generation and load' is clear and connects its work to the clean energy transition, but is not distinctive enough to be transformative [2]. Community Impact (1/2): Shoals employs 1,480 people primarily in Portland, Tennessee, has appointed a Chief People Officer and Director of Sustainability, and publishes annual ESG reports with emissions tracking [3]. The company's BLA solutions reduce environmental impact by eliminating trenching and soil disruption [3]. Employee Retention (1/2): The appointment of a Chief People Officer (James Hart) and focus on 'fostering a positive and inclusive workplace culture' signals organizational investment in employee experience [2]. CEO Brandon Moss joined in July 2023 and was added to the board in March 2024, suggesting board confidence. Insider Buying (1/2): Insiders hold 0.93% of shares; CEO Moss has significant equity compensation alignment ($1.56M total pay) but no evidence of meaningful open-market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Shoals demonstrates strong growth financials with D/E of 29.8% and a current ratio of 2.03 [1]. Revenue grew 38.6% YoY in Q4 2025 with full-year growth of 19% to $475M, and 2026 guidance of $560-$600M implies 22% continued growth [1]. Forward P/E of 13.0x is highly attractive for a 20%+ growth company, and trailing PEG of 0.62 signals significant undervaluation on a growth-adjusted basis [1]. ROE of 5.8% is modest, reflecting the capital-intensive nature of manufacturing expansion including the new consolidated facility [1]. Profit margin of 7.1% was compressed by $3.7M in tariff costs and facility consolidation expenses; management guides gross margins recovering to low-to-mid-30% range [1]. The $747.6M record backlog (+18% YoY) with $603.4M scheduled for shipment in the next four quarters provides exceptional revenue visibility. Liquidity cleared at $32.0M daily traded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Shoals exhibits mixed infinite game characteristics. The company has maintained a consistent focus on power infrastructure innovation since its 2002 solar pivot, and CEO Brandon Moss is investing in organizational capability (Chief People Officer, Director of Sustainability) that signals long-term thinking. However, the company is still relatively young as a public company (IPO 2021), has not yet faced a true crisis test, and margin compression from facility consolidation tests whether leadership will hold to long-term investments when quarterly results suffer.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Shoals' cause of 'enabling global electrification with safe, efficient power infrastructure' connects its work to the broader clean energy transition, which has genuine Just Cause potential — a vision of a world powered by clean, reliable energy [2]. The company's 24-year focus on power infrastructure (since the 2002 solar pivot) demonstrates consistency. However, the cause hasn't been tested through a major crisis or leadership transition.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a Chief People Officer and Director of Communications signals investment in organizational culture and employee engagement [2]. CEO Moss has built a leadership team with deep industry expertise. However, the facility consolidation and growth pressures create execution stress, and there is no public data on employee retention or satisfaction.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Shoals positions itself as the 'leading' EBOS provider and emphasizes market dominance rather than learning from competitors [2]. No evidence of management acknowledging specific rivals' strengths or using competitive dynamics as motivation for self-improvement.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Shoals pivoted from automotive components to solar EBOS in 2002, fundamentally redefining the company, which earns significant credit [2]. The current diversification into BESS, data centers, and international markets represents continued strategic evolution. However, these are adjacencies rather than transformative pivots — the core competency in electrical infrastructure remains unchanged. Score: 1/2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Shoals invested in a major consolidated manufacturing facility despite knowing it would compress margins in the near term, choosing long-term operational efficiency over short-term earnings [1]. The company is absorbing $3.7M in tariff costs and elevated legal expenses while maintaining growth investments in BESS and international expansion. CEO Moss is accepting margin headwinds in 2026 to build a more scalable foundation for 2027+. Score: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Shoals Technologies is the dominant American EBOS provider for utility-scale solar, with 62+ GW deployed globally and a record $747.6M backlog providing exceptional visibility into 22% revenue growth in 2026 ($560-$600M guided) [1]. At 13.0x forward P/E and 0.62x PEG, the stock is deeply undervalued for a 20%+ growth company with multiple expansion catalysts: BESS backlog quadrupled to $67M, international revenue grew 13x to $13M, and the data center BLA product targets a massive new market in 2027 [1]. Shoals benefits from structural tailwinds — IRA incentives, AI-driven data center power demand, and domestic manufacturing preference — while its BLA technology provides a genuine competitive moat with 75% wire reduction and 18% fewer connections [2]. The stock has risen 92% from its 52-week low, but at $6.58 remains 85% below its all-time high, offering significant recovery potential.</w:t>
      </w:r>
    </w:p>
    <w:p>
      <w:pPr>
        <w:spacing w:after="120"/>
      </w:pPr>
      <w:r>
        <w:rPr>
          <w:rFonts w:ascii="Calibri" w:hAnsi="Calibri"/>
          <w:b w:val="0"/>
          <w:color w:val="3A4A28"/>
          <w:sz w:val="20"/>
        </w:rPr>
        <w:t>The bear case centers on margin pressure and execution risk. Gross margins contracted to 31.6% in Q4 2025 from 37.6% a year earlier, driven by $3.7M in tariffs, facility consolidation costs, and increased labor expenses [1]. Q4 adjusted EPS of $0.10 missed the $0.14 consensus, and 2026 margins are guided only to the 'low-to-mid 30% range' with recovery not expected until 2027. Legal expenses from patent and shareholder litigation will remain elevated through 2026. The consolidated manufacturing facility introduces temporary inefficiencies that may persist longer than management expects. IRA policy risk is real — tax credits expire in 2029, and any acceleration of that timeline could damage the solar installation pipeline. Short interest at 8.4% of outstanding and beta of 1.77 reflect elevated volatility risk. The company has only $7.3M cash and $178.6M debt with negative free cash flow of -$9.9M in 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BESS backlog quadrupled to $67M with battery storage emerging as a major growth vector alongside the core solar EBOS business [1]</w:t>
      </w:r>
    </w:p>
    <w:p>
      <w:pPr>
        <w:spacing w:before="40" w:after="40"/>
        <w:ind w:left="283"/>
      </w:pPr>
      <w:r>
        <w:rPr>
          <w:rFonts w:ascii="Calibri" w:hAnsi="Calibri"/>
          <w:b/>
          <w:color w:val="4A6B25"/>
          <w:sz w:val="20"/>
        </w:rPr>
        <w:t xml:space="preserve">2. </w:t>
      </w:r>
      <w:r>
        <w:rPr>
          <w:rFonts w:ascii="Calibri" w:hAnsi="Calibri"/>
          <w:b w:val="0"/>
          <w:color w:val="3A4A28"/>
          <w:sz w:val="20"/>
        </w:rPr>
        <w:t>Data center BLA product certification on track with material revenue impact beginning 2027, positioning Shoals to capture AI-driven power infrastructure demand [1]</w:t>
      </w:r>
    </w:p>
    <w:p>
      <w:pPr>
        <w:spacing w:before="40" w:after="40"/>
        <w:ind w:left="283"/>
      </w:pPr>
      <w:r>
        <w:rPr>
          <w:rFonts w:ascii="Calibri" w:hAnsi="Calibri"/>
          <w:b/>
          <w:color w:val="4A6B25"/>
          <w:sz w:val="20"/>
        </w:rPr>
        <w:t xml:space="preserve">3. </w:t>
      </w:r>
      <w:r>
        <w:rPr>
          <w:rFonts w:ascii="Calibri" w:hAnsi="Calibri"/>
          <w:b w:val="0"/>
          <w:color w:val="3A4A28"/>
          <w:sz w:val="20"/>
        </w:rPr>
        <w:t>International revenue expansion from &lt;$1M in 2024 to $13M in 2025 with a record $90M international order book, diversifying beyond U.S. utility-scale solar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Gross margin compression to 31.6% in Q4 from 37.6% a year ago due to $3.7M tariff costs, facility consolidation, and labor inflation — recovery not guided until 2027 [1]</w:t>
      </w:r>
    </w:p>
    <w:p>
      <w:pPr>
        <w:spacing w:before="40" w:after="40"/>
        <w:ind w:left="283"/>
      </w:pPr>
      <w:r>
        <w:rPr>
          <w:rFonts w:ascii="Calibri" w:hAnsi="Calibri"/>
          <w:b/>
          <w:color w:val="4A6B25"/>
          <w:sz w:val="20"/>
        </w:rPr>
        <w:t xml:space="preserve">2. </w:t>
      </w:r>
      <w:r>
        <w:rPr>
          <w:rFonts w:ascii="Calibri" w:hAnsi="Calibri"/>
          <w:b w:val="0"/>
          <w:color w:val="3A4A28"/>
          <w:sz w:val="20"/>
        </w:rPr>
        <w:t>Patent and shareholder litigation expenses remain elevated through 2026, creating earnings drag and management distraction [1]</w:t>
      </w:r>
    </w:p>
    <w:p>
      <w:pPr>
        <w:spacing w:before="40" w:after="40"/>
        <w:ind w:left="283"/>
      </w:pPr>
      <w:r>
        <w:rPr>
          <w:rFonts w:ascii="Calibri" w:hAnsi="Calibri"/>
          <w:b/>
          <w:color w:val="4A6B25"/>
          <w:sz w:val="20"/>
        </w:rPr>
        <w:t xml:space="preserve">3. </w:t>
      </w:r>
      <w:r>
        <w:rPr>
          <w:rFonts w:ascii="Calibri" w:hAnsi="Calibri"/>
          <w:b w:val="0"/>
          <w:color w:val="3A4A28"/>
          <w:sz w:val="20"/>
        </w:rPr>
        <w:t>IRA policy dependence — solar investment tax credits expire in 2029, and any legislative changes could reduce the U.S. utility-scale solar installation pipeline that drives &gt;90% of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Shoals manufactures physical electrical infrastructure — wire harnesses, combiners, disconnects, and monitoring systems — that are essential components of solar and battery storage installations [2]. AI cannot substitute for the physical wiring, connectors, and power distribution equipment that solar farms require. Moreover, AI-driven demand for data centers is increasing electricity consumption, which drives more solar and battery storage deployment — directly benefiting Shoals. The company is developing a data center BLA product specifically to serve AI infrastructure power needs [1]. Tariffs and supply chain complexity further protect the domestic manufacturing moat. AI Opportunity (1/1): Shoals' partnership with ON Energy for resilient data center power solutions and the data center BLA product certification represent direct AI-adjacent revenue opportunities, as generative AI drives massive power infrastructure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Shoals Technologies Q4 2025 Earnings Release and Call — record $148.3M Q4 revenue, $747.6M backlog,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Shoals Technologies corporate website — EBOS solutions, leadership, about page,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Shoals Technologies 2023 ESG Report — environmental initiatives, Sustainalytics risk rating, governance documents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SHLS (Shoals Technologies),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